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2E" w:rsidRDefault="00012B66" w:rsidP="00012B66">
      <w:pPr>
        <w:rPr>
          <w:sz w:val="24"/>
          <w:szCs w:val="20"/>
        </w:rPr>
      </w:pPr>
      <w:r w:rsidRPr="009A555E">
        <w:rPr>
          <w:sz w:val="24"/>
          <w:szCs w:val="20"/>
        </w:rPr>
        <w:t>The Department of State</w:t>
      </w:r>
      <w:r>
        <w:rPr>
          <w:sz w:val="24"/>
          <w:szCs w:val="20"/>
        </w:rPr>
        <w:t>, Bureau of Political-Military Affairs, Directorate of Defense Trade Controls (DDTC)</w:t>
      </w:r>
      <w:r w:rsidRPr="009A555E">
        <w:rPr>
          <w:sz w:val="24"/>
          <w:szCs w:val="20"/>
        </w:rPr>
        <w:t xml:space="preserve"> is responsible for the export and temporary import of defense articles and services governed by 22 U.S.C. 2778</w:t>
      </w:r>
      <w:r w:rsidR="00DB5F0F">
        <w:rPr>
          <w:sz w:val="24"/>
          <w:szCs w:val="20"/>
        </w:rPr>
        <w:t xml:space="preserve"> of the Arms Export Control Act.</w:t>
      </w:r>
      <w:r w:rsidR="006448A9">
        <w:rPr>
          <w:sz w:val="24"/>
          <w:szCs w:val="20"/>
        </w:rPr>
        <w:t xml:space="preserve"> The International Traffic in Arms Regulations implements the AECA.</w:t>
      </w:r>
    </w:p>
    <w:p w:rsidR="00012B66" w:rsidRDefault="006448A9" w:rsidP="00012B66">
      <w:pPr>
        <w:tabs>
          <w:tab w:val="left" w:pos="-1440"/>
        </w:tabs>
        <w:rPr>
          <w:sz w:val="24"/>
          <w:szCs w:val="20"/>
        </w:rPr>
      </w:pPr>
      <w:hyperlink r:id="rId9" w:history="1">
        <w:r w:rsidRPr="002E5C08">
          <w:rPr>
            <w:rStyle w:val="Hyperlink"/>
            <w:rFonts w:cstheme="minorBidi"/>
            <w:sz w:val="24"/>
            <w:szCs w:val="20"/>
          </w:rPr>
          <w:t>https://www.pmddtc.state.gov/regulations_laws/aeca.html</w:t>
        </w:r>
      </w:hyperlink>
    </w:p>
    <w:p w:rsidR="006448A9" w:rsidRDefault="006448A9" w:rsidP="00012B66">
      <w:pPr>
        <w:tabs>
          <w:tab w:val="left" w:pos="-1440"/>
        </w:tabs>
        <w:rPr>
          <w:sz w:val="24"/>
          <w:szCs w:val="20"/>
        </w:rPr>
      </w:pPr>
      <w:hyperlink r:id="rId10" w:history="1">
        <w:r w:rsidRPr="002E5C08">
          <w:rPr>
            <w:rStyle w:val="Hyperlink"/>
            <w:rFonts w:cstheme="minorBidi"/>
            <w:sz w:val="24"/>
            <w:szCs w:val="20"/>
          </w:rPr>
          <w:t>https://www.pmddtc.state.gov/regulations_laws/itar.html</w:t>
        </w:r>
      </w:hyperlink>
    </w:p>
    <w:p w:rsidR="00012B66" w:rsidRDefault="00012B66" w:rsidP="00012B66">
      <w:pPr>
        <w:tabs>
          <w:tab w:val="left" w:pos="-1440"/>
        </w:tabs>
        <w:rPr>
          <w:rStyle w:val="Strong"/>
          <w:b w:val="0"/>
          <w:bCs w:val="0"/>
          <w:szCs w:val="24"/>
        </w:rPr>
      </w:pPr>
    </w:p>
    <w:p w:rsidR="00012B66" w:rsidRDefault="00012B66" w:rsidP="00012B66">
      <w:pPr>
        <w:tabs>
          <w:tab w:val="left" w:pos="-1440"/>
        </w:tabs>
        <w:rPr>
          <w:rStyle w:val="Strong"/>
          <w:b w:val="0"/>
          <w:bCs w:val="0"/>
          <w:szCs w:val="24"/>
        </w:rPr>
      </w:pPr>
      <w:r>
        <w:rPr>
          <w:rStyle w:val="Strong"/>
          <w:b w:val="0"/>
          <w:bCs w:val="0"/>
          <w:szCs w:val="24"/>
        </w:rPr>
        <w:t>The following are the potential PGA records associated with submitting DDTC data regulated by the Department of State</w:t>
      </w:r>
      <w:r w:rsidR="00175E6E">
        <w:rPr>
          <w:rStyle w:val="Strong"/>
          <w:b w:val="0"/>
          <w:bCs w:val="0"/>
          <w:szCs w:val="24"/>
        </w:rPr>
        <w:t>.</w:t>
      </w:r>
      <w:r w:rsidR="00DB5F0F">
        <w:rPr>
          <w:rStyle w:val="Strong"/>
          <w:b w:val="0"/>
          <w:bCs w:val="0"/>
          <w:szCs w:val="24"/>
        </w:rPr>
        <w:t xml:space="preserve"> </w:t>
      </w:r>
      <w:r w:rsidR="00B22571">
        <w:t>T</w:t>
      </w:r>
      <w:r w:rsidR="00B22571" w:rsidRPr="00F77473">
        <w:t xml:space="preserve">he PGA Message Set does not stand-alone and must be submitted with </w:t>
      </w:r>
      <w:r w:rsidR="00B22571">
        <w:t xml:space="preserve">an entry filing such as </w:t>
      </w:r>
      <w:r w:rsidR="00B22571" w:rsidRPr="00F77473">
        <w:t xml:space="preserve">an </w:t>
      </w:r>
      <w:r w:rsidR="00B22571">
        <w:t xml:space="preserve">ACE </w:t>
      </w:r>
      <w:r w:rsidR="00B22571" w:rsidRPr="00F77473">
        <w:t xml:space="preserve">Entry Summary </w:t>
      </w:r>
      <w:r w:rsidR="00B22571">
        <w:t>certified for cargo release</w:t>
      </w:r>
    </w:p>
    <w:p w:rsidR="00012B66" w:rsidRDefault="00012B66" w:rsidP="00012B66">
      <w:pPr>
        <w:tabs>
          <w:tab w:val="left" w:pos="-1440"/>
        </w:tabs>
        <w:rPr>
          <w:rStyle w:val="Strong"/>
          <w:b w:val="0"/>
          <w:bCs w:val="0"/>
          <w:szCs w:val="24"/>
        </w:rPr>
      </w:pPr>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8460"/>
      </w:tblGrid>
      <w:tr w:rsidR="00751DE7" w:rsidRPr="00A128C3" w:rsidTr="0008184B">
        <w:tc>
          <w:tcPr>
            <w:tcW w:w="8460" w:type="dxa"/>
            <w:shd w:val="pct15" w:color="auto" w:fill="auto"/>
          </w:tcPr>
          <w:p w:rsidR="00751DE7" w:rsidRPr="00CA77A6" w:rsidRDefault="00751DE7" w:rsidP="0008184B">
            <w:pPr>
              <w:spacing w:before="80" w:after="80"/>
              <w:jc w:val="center"/>
              <w:rPr>
                <w:rFonts w:ascii="Arial" w:hAnsi="Arial"/>
                <w:b/>
                <w:sz w:val="18"/>
                <w:szCs w:val="18"/>
              </w:rPr>
            </w:pPr>
            <w:r w:rsidRPr="00CA77A6">
              <w:rPr>
                <w:rFonts w:ascii="Arial" w:hAnsi="Arial"/>
                <w:b/>
                <w:sz w:val="18"/>
                <w:szCs w:val="18"/>
              </w:rPr>
              <w:t>Description</w:t>
            </w:r>
          </w:p>
        </w:tc>
      </w:tr>
      <w:tr w:rsidR="00751DE7" w:rsidRPr="00A128C3" w:rsidTr="0008184B">
        <w:trPr>
          <w:trHeight w:val="395"/>
        </w:trPr>
        <w:tc>
          <w:tcPr>
            <w:tcW w:w="8460" w:type="dxa"/>
          </w:tcPr>
          <w:p w:rsidR="00751DE7" w:rsidRPr="00A81756" w:rsidRDefault="00115D38" w:rsidP="0008184B">
            <w:pPr>
              <w:spacing w:before="80" w:after="80"/>
              <w:rPr>
                <w:rFonts w:ascii="Arial" w:hAnsi="Arial"/>
                <w:sz w:val="18"/>
                <w:szCs w:val="18"/>
              </w:rPr>
            </w:pPr>
            <w:r>
              <w:rPr>
                <w:rFonts w:ascii="Arial" w:hAnsi="Arial"/>
                <w:sz w:val="18"/>
                <w:szCs w:val="18"/>
              </w:rPr>
              <w:t>Commercial Description of the shipment</w:t>
            </w:r>
          </w:p>
        </w:tc>
      </w:tr>
      <w:tr w:rsidR="00751DE7" w:rsidRPr="00A128C3" w:rsidTr="0008184B">
        <w:tc>
          <w:tcPr>
            <w:tcW w:w="8460" w:type="dxa"/>
          </w:tcPr>
          <w:p w:rsidR="00751DE7" w:rsidRPr="00DB5F0F" w:rsidRDefault="00115D38" w:rsidP="00A81756">
            <w:pPr>
              <w:spacing w:before="80" w:after="80"/>
              <w:ind w:left="-25"/>
              <w:rPr>
                <w:rFonts w:ascii="Arial" w:hAnsi="Arial" w:cs="Arial"/>
                <w:sz w:val="18"/>
                <w:szCs w:val="18"/>
              </w:rPr>
            </w:pPr>
            <w:r>
              <w:rPr>
                <w:rFonts w:ascii="Arial" w:hAnsi="Arial" w:cs="Arial"/>
                <w:sz w:val="18"/>
                <w:szCs w:val="18"/>
              </w:rPr>
              <w:t>Government Agency Code (DTC)</w:t>
            </w:r>
          </w:p>
        </w:tc>
      </w:tr>
      <w:tr w:rsidR="00115D38" w:rsidRPr="00A128C3" w:rsidTr="00552002">
        <w:tc>
          <w:tcPr>
            <w:tcW w:w="8460" w:type="dxa"/>
          </w:tcPr>
          <w:p w:rsidR="00115D38" w:rsidRPr="00A81756" w:rsidRDefault="00115D38" w:rsidP="00115D38">
            <w:pPr>
              <w:spacing w:before="80" w:after="80"/>
              <w:rPr>
                <w:rFonts w:ascii="Arial" w:hAnsi="Arial"/>
                <w:sz w:val="18"/>
                <w:szCs w:val="18"/>
              </w:rPr>
            </w:pPr>
            <w:r>
              <w:rPr>
                <w:rFonts w:ascii="Arial" w:hAnsi="Arial"/>
                <w:sz w:val="18"/>
                <w:szCs w:val="18"/>
              </w:rPr>
              <w:t xml:space="preserve">License Number &amp; </w:t>
            </w:r>
            <w:r>
              <w:rPr>
                <w:rFonts w:ascii="Arial" w:hAnsi="Arial"/>
                <w:sz w:val="18"/>
                <w:szCs w:val="18"/>
              </w:rPr>
              <w:t>Exemptions</w:t>
            </w:r>
            <w:r w:rsidRPr="00A81756">
              <w:rPr>
                <w:rFonts w:ascii="Arial" w:hAnsi="Arial"/>
                <w:sz w:val="18"/>
                <w:szCs w:val="18"/>
              </w:rPr>
              <w:t xml:space="preserve"> </w:t>
            </w:r>
          </w:p>
        </w:tc>
      </w:tr>
      <w:tr w:rsidR="00751DE7" w:rsidRPr="00A128C3" w:rsidTr="0008184B">
        <w:tc>
          <w:tcPr>
            <w:tcW w:w="8460" w:type="dxa"/>
          </w:tcPr>
          <w:p w:rsidR="00751DE7" w:rsidRPr="00A81756" w:rsidRDefault="00115D38" w:rsidP="00817525">
            <w:pPr>
              <w:pStyle w:val="ListParagraph"/>
              <w:spacing w:before="80" w:after="80"/>
              <w:ind w:left="0"/>
              <w:rPr>
                <w:rFonts w:ascii="Arial" w:hAnsi="Arial"/>
                <w:sz w:val="18"/>
                <w:szCs w:val="18"/>
              </w:rPr>
            </w:pPr>
            <w:r>
              <w:rPr>
                <w:rFonts w:ascii="Arial" w:hAnsi="Arial"/>
                <w:sz w:val="18"/>
                <w:szCs w:val="18"/>
              </w:rPr>
              <w:t>Anticipated Arrival Date</w:t>
            </w:r>
          </w:p>
        </w:tc>
      </w:tr>
    </w:tbl>
    <w:p w:rsidR="00BF1C99" w:rsidRDefault="00BF1C99" w:rsidP="006778A3">
      <w:pPr>
        <w:rPr>
          <w:b/>
        </w:rPr>
      </w:pPr>
    </w:p>
    <w:p w:rsidR="00BF1C99" w:rsidRDefault="00BF1C99" w:rsidP="006778A3">
      <w:pPr>
        <w:rPr>
          <w:b/>
        </w:rPr>
      </w:pPr>
    </w:p>
    <w:p w:rsidR="00BF1C99" w:rsidRDefault="00BF1C99" w:rsidP="006778A3">
      <w:pPr>
        <w:rPr>
          <w:b/>
        </w:rPr>
      </w:pPr>
    </w:p>
    <w:p w:rsidR="00BF1C99" w:rsidRDefault="00BF1C99" w:rsidP="006778A3">
      <w:pPr>
        <w:rPr>
          <w:b/>
        </w:rPr>
      </w:pPr>
    </w:p>
    <w:p w:rsidR="0063071F" w:rsidRDefault="0063071F" w:rsidP="006778A3">
      <w:pPr>
        <w:rPr>
          <w:b/>
        </w:rPr>
      </w:pPr>
    </w:p>
    <w:p w:rsidR="006448A9" w:rsidRDefault="006448A9" w:rsidP="006778A3">
      <w:pPr>
        <w:rPr>
          <w:b/>
        </w:rPr>
      </w:pPr>
    </w:p>
    <w:p w:rsidR="006448A9" w:rsidRDefault="006448A9" w:rsidP="006778A3">
      <w:pPr>
        <w:rPr>
          <w:b/>
        </w:rPr>
      </w:pPr>
    </w:p>
    <w:p w:rsidR="006448A9" w:rsidRDefault="006448A9" w:rsidP="006778A3">
      <w:pPr>
        <w:rPr>
          <w:b/>
        </w:rPr>
      </w:pPr>
    </w:p>
    <w:p w:rsidR="006448A9" w:rsidRDefault="006448A9" w:rsidP="006778A3">
      <w:pPr>
        <w:rPr>
          <w:b/>
        </w:rPr>
      </w:pPr>
    </w:p>
    <w:p w:rsidR="006448A9" w:rsidRDefault="006448A9" w:rsidP="006778A3">
      <w:pPr>
        <w:rPr>
          <w:b/>
        </w:rPr>
      </w:pPr>
    </w:p>
    <w:p w:rsidR="00115D38" w:rsidRDefault="00115D38" w:rsidP="006778A3">
      <w:r>
        <w:rPr>
          <w:b/>
        </w:rPr>
        <w:t xml:space="preserve">Commercial Description: </w:t>
      </w:r>
      <w:r w:rsidRPr="00115D38">
        <w:t xml:space="preserve">The commercial </w:t>
      </w:r>
      <w:r>
        <w:t>description of the product: Exam</w:t>
      </w:r>
      <w:r w:rsidRPr="00115D38">
        <w:t>ple –</w:t>
      </w:r>
      <w:r>
        <w:rPr>
          <w:b/>
        </w:rPr>
        <w:t xml:space="preserve"> </w:t>
      </w:r>
      <w:r w:rsidRPr="00115D38">
        <w:t>Aircraft</w:t>
      </w:r>
    </w:p>
    <w:p w:rsidR="00115D38" w:rsidRDefault="00115D38" w:rsidP="006778A3">
      <w:pPr>
        <w:rPr>
          <w:b/>
        </w:rPr>
      </w:pPr>
      <w:r w:rsidRPr="00115D38">
        <w:rPr>
          <w:b/>
        </w:rPr>
        <w:t>Government Agency Code</w:t>
      </w:r>
      <w:r>
        <w:t>: DTC</w:t>
      </w:r>
    </w:p>
    <w:p w:rsidR="00115D38" w:rsidRPr="00115D38" w:rsidRDefault="00115D38" w:rsidP="006778A3">
      <w:r>
        <w:rPr>
          <w:b/>
        </w:rPr>
        <w:t xml:space="preserve">Government Agency Program Code: </w:t>
      </w:r>
      <w:r>
        <w:t>DTC</w:t>
      </w:r>
    </w:p>
    <w:p w:rsidR="00C010DD" w:rsidRDefault="00BF1C99">
      <w:r>
        <w:rPr>
          <w:b/>
        </w:rPr>
        <w:t>Product</w:t>
      </w:r>
      <w:r w:rsidR="00D2421B">
        <w:rPr>
          <w:b/>
        </w:rPr>
        <w:t>/ Component Level</w:t>
      </w:r>
      <w:r>
        <w:rPr>
          <w:b/>
        </w:rPr>
        <w:t xml:space="preserve"> Identifier</w:t>
      </w:r>
      <w:r w:rsidR="0063071F">
        <w:t xml:space="preserve">: </w:t>
      </w:r>
      <w:r>
        <w:t xml:space="preserve"> This </w:t>
      </w:r>
      <w:r w:rsidR="00D2421B">
        <w:t xml:space="preserve">is a mandatory PGA input record.  The Product Identifier </w:t>
      </w:r>
      <w:r>
        <w:t xml:space="preserve">is used to indicate whether or not the information being provided relates to a product (P) or a component </w:t>
      </w:r>
      <w:r w:rsidR="00397788">
        <w:t>(C</w:t>
      </w:r>
      <w:r>
        <w:t xml:space="preserve">) of a product. </w:t>
      </w:r>
      <w:r w:rsidR="00115D38">
        <w:t xml:space="preserve"> </w:t>
      </w:r>
    </w:p>
    <w:p w:rsidR="00B17320" w:rsidRDefault="00BF1C99" w:rsidP="00267502">
      <w:r>
        <w:rPr>
          <w:b/>
        </w:rPr>
        <w:t>Licenses &amp; Exemptions</w:t>
      </w:r>
      <w:r w:rsidR="00A81756">
        <w:rPr>
          <w:b/>
        </w:rPr>
        <w:t xml:space="preserve">: </w:t>
      </w:r>
      <w:r w:rsidR="006448A9">
        <w:rPr>
          <w:b/>
        </w:rPr>
        <w:t xml:space="preserve"> </w:t>
      </w:r>
      <w:r>
        <w:t>This provides DDTC with data pertaining to Licenses, Permits, Certificates or other (LPCO).</w:t>
      </w:r>
      <w:r w:rsidR="00267502">
        <w:t xml:space="preserve"> The license type/number and registration number will be validated against license and registration data provided by DDTC.</w:t>
      </w:r>
      <w:r w:rsidR="00B17320">
        <w:t xml:space="preserve">  </w:t>
      </w:r>
    </w:p>
    <w:tbl>
      <w:tblPr>
        <w:tblStyle w:val="TableGrid"/>
        <w:tblW w:w="0" w:type="auto"/>
        <w:tblLook w:val="04A0" w:firstRow="1" w:lastRow="0" w:firstColumn="1" w:lastColumn="0" w:noHBand="0" w:noVBand="1"/>
      </w:tblPr>
      <w:tblGrid>
        <w:gridCol w:w="4788"/>
        <w:gridCol w:w="4788"/>
      </w:tblGrid>
      <w:tr w:rsidR="00E95691" w:rsidTr="00E95691">
        <w:tc>
          <w:tcPr>
            <w:tcW w:w="4788" w:type="dxa"/>
            <w:shd w:val="clear" w:color="auto" w:fill="D9D9D9" w:themeFill="background1" w:themeFillShade="D9"/>
          </w:tcPr>
          <w:p w:rsidR="00E95691" w:rsidRDefault="00E95691" w:rsidP="00267502">
            <w:r>
              <w:t>Data Element</w:t>
            </w:r>
          </w:p>
        </w:tc>
        <w:tc>
          <w:tcPr>
            <w:tcW w:w="4788" w:type="dxa"/>
            <w:shd w:val="clear" w:color="auto" w:fill="D9D9D9" w:themeFill="background1" w:themeFillShade="D9"/>
          </w:tcPr>
          <w:p w:rsidR="00E95691" w:rsidRDefault="00E95691" w:rsidP="00267502">
            <w:r>
              <w:t>Description</w:t>
            </w:r>
          </w:p>
        </w:tc>
      </w:tr>
      <w:tr w:rsidR="00E95691" w:rsidTr="00E95691">
        <w:tc>
          <w:tcPr>
            <w:tcW w:w="4788" w:type="dxa"/>
          </w:tcPr>
          <w:p w:rsidR="00E95691" w:rsidRDefault="00E95691" w:rsidP="00267502">
            <w:r>
              <w:t>LPCO Transaction Type</w:t>
            </w:r>
          </w:p>
        </w:tc>
        <w:tc>
          <w:tcPr>
            <w:tcW w:w="4788" w:type="dxa"/>
          </w:tcPr>
          <w:p w:rsidR="00E95691" w:rsidRDefault="00E95691" w:rsidP="00267502">
            <w:r>
              <w:t xml:space="preserve">License Type </w:t>
            </w:r>
          </w:p>
          <w:p w:rsidR="00E95691" w:rsidRDefault="00E95691" w:rsidP="00267502">
            <w:r>
              <w:t>S61 -  Temporary Import License</w:t>
            </w:r>
          </w:p>
          <w:p w:rsidR="00E95691" w:rsidRDefault="00E95691" w:rsidP="00267502">
            <w:r>
              <w:t>S62 – Amended Temporary Import License</w:t>
            </w:r>
          </w:p>
          <w:p w:rsidR="00E95691" w:rsidRDefault="00E95691" w:rsidP="00267502">
            <w:r>
              <w:t>S73 – Temporary Export License</w:t>
            </w:r>
          </w:p>
          <w:p w:rsidR="00E95691" w:rsidRDefault="00E95691" w:rsidP="00267502">
            <w:r>
              <w:t>S74 – Amended Temporary Export License</w:t>
            </w:r>
          </w:p>
          <w:p w:rsidR="00E95691" w:rsidRDefault="00E95691" w:rsidP="00267502">
            <w:r>
              <w:t>S85 – Permanent/Temporary Import of Classified defense Articles and Classified Technical Data</w:t>
            </w:r>
          </w:p>
        </w:tc>
      </w:tr>
      <w:tr w:rsidR="00E95691" w:rsidTr="00E95691">
        <w:tc>
          <w:tcPr>
            <w:tcW w:w="4788" w:type="dxa"/>
          </w:tcPr>
          <w:p w:rsidR="00E95691" w:rsidRDefault="00E95691" w:rsidP="00E95691">
            <w:r>
              <w:t>LPCO Number ( or Name)</w:t>
            </w:r>
          </w:p>
        </w:tc>
        <w:tc>
          <w:tcPr>
            <w:tcW w:w="4788" w:type="dxa"/>
          </w:tcPr>
          <w:p w:rsidR="00E95691" w:rsidRDefault="00E95691" w:rsidP="00267502">
            <w:r>
              <w:t>Number of license</w:t>
            </w:r>
          </w:p>
        </w:tc>
      </w:tr>
      <w:tr w:rsidR="00E95691" w:rsidTr="00E95691">
        <w:tc>
          <w:tcPr>
            <w:tcW w:w="4788" w:type="dxa"/>
          </w:tcPr>
          <w:p w:rsidR="00E95691" w:rsidRDefault="00E95691" w:rsidP="00267502">
            <w:r>
              <w:t>Exemption Code</w:t>
            </w:r>
          </w:p>
        </w:tc>
        <w:tc>
          <w:tcPr>
            <w:tcW w:w="4788" w:type="dxa"/>
          </w:tcPr>
          <w:p w:rsidR="00E95691" w:rsidRDefault="00E95691" w:rsidP="00267502">
            <w:r>
              <w:t>Appendix A</w:t>
            </w:r>
          </w:p>
        </w:tc>
      </w:tr>
    </w:tbl>
    <w:p w:rsidR="00C010DD" w:rsidRDefault="00C010DD" w:rsidP="00AF7FC0">
      <w:pPr>
        <w:spacing w:after="0" w:line="240" w:lineRule="auto"/>
        <w:jc w:val="both"/>
        <w:rPr>
          <w:iCs/>
          <w:sz w:val="23"/>
          <w:szCs w:val="23"/>
        </w:rPr>
      </w:pPr>
    </w:p>
    <w:p w:rsidR="008075B0" w:rsidRDefault="008075B0" w:rsidP="00AF7FC0">
      <w:pPr>
        <w:spacing w:after="0" w:line="240" w:lineRule="auto"/>
        <w:jc w:val="both"/>
        <w:rPr>
          <w:i/>
          <w:iCs/>
          <w:sz w:val="23"/>
          <w:szCs w:val="23"/>
        </w:rPr>
      </w:pPr>
      <w:r>
        <w:rPr>
          <w:i/>
          <w:iCs/>
          <w:sz w:val="23"/>
          <w:szCs w:val="23"/>
        </w:rPr>
        <w:t xml:space="preserve">See Appendix A for exemption codes </w:t>
      </w:r>
    </w:p>
    <w:p w:rsidR="008075B0" w:rsidRDefault="008075B0" w:rsidP="00AF7FC0">
      <w:pPr>
        <w:spacing w:after="0" w:line="240" w:lineRule="auto"/>
        <w:jc w:val="both"/>
        <w:rPr>
          <w:i/>
          <w:iCs/>
          <w:sz w:val="23"/>
          <w:szCs w:val="23"/>
        </w:rPr>
      </w:pPr>
    </w:p>
    <w:tbl>
      <w:tblPr>
        <w:tblStyle w:val="TableGrid"/>
        <w:tblW w:w="0" w:type="auto"/>
        <w:tblLook w:val="04A0" w:firstRow="1" w:lastRow="0" w:firstColumn="1" w:lastColumn="0" w:noHBand="0" w:noVBand="1"/>
      </w:tblPr>
      <w:tblGrid>
        <w:gridCol w:w="4788"/>
        <w:gridCol w:w="4788"/>
      </w:tblGrid>
      <w:tr w:rsidR="00E95691" w:rsidTr="00552002">
        <w:tc>
          <w:tcPr>
            <w:tcW w:w="4788" w:type="dxa"/>
            <w:shd w:val="clear" w:color="auto" w:fill="D9D9D9" w:themeFill="background1" w:themeFillShade="D9"/>
          </w:tcPr>
          <w:p w:rsidR="00E95691" w:rsidRDefault="00E95691" w:rsidP="00552002">
            <w:r>
              <w:t>Data Element</w:t>
            </w:r>
          </w:p>
        </w:tc>
        <w:tc>
          <w:tcPr>
            <w:tcW w:w="4788" w:type="dxa"/>
            <w:shd w:val="clear" w:color="auto" w:fill="D9D9D9" w:themeFill="background1" w:themeFillShade="D9"/>
          </w:tcPr>
          <w:p w:rsidR="00E95691" w:rsidRDefault="00E95691" w:rsidP="00552002">
            <w:r>
              <w:t>Description</w:t>
            </w:r>
          </w:p>
        </w:tc>
      </w:tr>
      <w:tr w:rsidR="00E95691" w:rsidTr="00552002">
        <w:tc>
          <w:tcPr>
            <w:tcW w:w="4788" w:type="dxa"/>
          </w:tcPr>
          <w:p w:rsidR="00E95691" w:rsidRDefault="00E95691" w:rsidP="00552002">
            <w:r>
              <w:t>LPCO Transaction Type</w:t>
            </w:r>
          </w:p>
        </w:tc>
        <w:tc>
          <w:tcPr>
            <w:tcW w:w="4788" w:type="dxa"/>
          </w:tcPr>
          <w:p w:rsidR="00E95691" w:rsidRDefault="00E95691" w:rsidP="00552002">
            <w:r>
              <w:t>DD1</w:t>
            </w:r>
          </w:p>
        </w:tc>
      </w:tr>
      <w:tr w:rsidR="00E95691" w:rsidTr="00552002">
        <w:tc>
          <w:tcPr>
            <w:tcW w:w="4788" w:type="dxa"/>
          </w:tcPr>
          <w:p w:rsidR="00E95691" w:rsidRDefault="00E95691" w:rsidP="00552002">
            <w:r>
              <w:t>LPCO Number</w:t>
            </w:r>
          </w:p>
        </w:tc>
        <w:tc>
          <w:tcPr>
            <w:tcW w:w="4788" w:type="dxa"/>
          </w:tcPr>
          <w:p w:rsidR="00E95691" w:rsidRDefault="00E95691" w:rsidP="00552002">
            <w:r>
              <w:t>DDTC issued registration number*</w:t>
            </w:r>
          </w:p>
        </w:tc>
      </w:tr>
    </w:tbl>
    <w:p w:rsidR="00F336D3" w:rsidRDefault="00F336D3" w:rsidP="00AF7FC0">
      <w:pPr>
        <w:spacing w:after="0" w:line="240" w:lineRule="auto"/>
        <w:jc w:val="both"/>
        <w:rPr>
          <w:iCs/>
          <w:sz w:val="23"/>
          <w:szCs w:val="23"/>
        </w:rPr>
      </w:pPr>
    </w:p>
    <w:p w:rsidR="00F336D3" w:rsidRPr="00E95691" w:rsidRDefault="00E95691" w:rsidP="00E95691">
      <w:pPr>
        <w:pStyle w:val="Heading1"/>
        <w:rPr>
          <w:rFonts w:asciiTheme="majorHAnsi" w:hAnsiTheme="majorHAnsi"/>
          <w:b w:val="0"/>
          <w:sz w:val="22"/>
          <w:szCs w:val="22"/>
        </w:rPr>
      </w:pPr>
      <w:r>
        <w:rPr>
          <w:rFonts w:asciiTheme="majorHAnsi" w:hAnsiTheme="majorHAnsi"/>
          <w:b w:val="0"/>
          <w:sz w:val="22"/>
          <w:szCs w:val="22"/>
          <w:lang w:val="en-US"/>
        </w:rPr>
        <w:t>*</w:t>
      </w:r>
      <w:r w:rsidRPr="00E95691">
        <w:rPr>
          <w:rFonts w:asciiTheme="majorHAnsi" w:hAnsiTheme="majorHAnsi"/>
          <w:b w:val="0"/>
          <w:sz w:val="22"/>
          <w:szCs w:val="22"/>
        </w:rPr>
        <w:t>For Temporary imports and Temporary exports that require a license, the registration number supplied by DDTC must be entered for the LPCO number, for temporary import and temporary export exemptions, the LPCO is conditional, depending on the exemption.</w:t>
      </w:r>
    </w:p>
    <w:p w:rsidR="00E95691" w:rsidRPr="00E95691" w:rsidRDefault="00E95691" w:rsidP="00AF7FC0">
      <w:pPr>
        <w:spacing w:after="0" w:line="240" w:lineRule="auto"/>
        <w:jc w:val="both"/>
        <w:rPr>
          <w:rFonts w:asciiTheme="majorHAnsi" w:hAnsiTheme="majorHAnsi"/>
          <w:iCs/>
        </w:rPr>
      </w:pPr>
    </w:p>
    <w:p w:rsidR="00E95691" w:rsidRPr="00E95691" w:rsidRDefault="00E95691" w:rsidP="00AF7FC0">
      <w:pPr>
        <w:spacing w:after="0" w:line="240" w:lineRule="auto"/>
        <w:jc w:val="both"/>
        <w:rPr>
          <w:rFonts w:asciiTheme="majorHAnsi" w:hAnsiTheme="majorHAnsi"/>
          <w:iCs/>
        </w:rPr>
      </w:pPr>
    </w:p>
    <w:p w:rsidR="00E95691" w:rsidRDefault="00E95691" w:rsidP="00AF7FC0">
      <w:pPr>
        <w:spacing w:after="0" w:line="240" w:lineRule="auto"/>
        <w:jc w:val="both"/>
        <w:rPr>
          <w:iCs/>
          <w:sz w:val="23"/>
          <w:szCs w:val="23"/>
        </w:rPr>
      </w:pPr>
    </w:p>
    <w:p w:rsidR="00E95691" w:rsidRDefault="00E95691" w:rsidP="00AF7FC0">
      <w:pPr>
        <w:spacing w:after="0" w:line="240" w:lineRule="auto"/>
        <w:jc w:val="both"/>
        <w:rPr>
          <w:iCs/>
          <w:sz w:val="23"/>
          <w:szCs w:val="23"/>
        </w:rPr>
      </w:pPr>
    </w:p>
    <w:p w:rsidR="006448A9" w:rsidRDefault="006448A9" w:rsidP="00AF7FC0">
      <w:pPr>
        <w:spacing w:after="0" w:line="240" w:lineRule="auto"/>
        <w:jc w:val="both"/>
        <w:rPr>
          <w:iCs/>
          <w:sz w:val="23"/>
          <w:szCs w:val="23"/>
        </w:rPr>
      </w:pPr>
    </w:p>
    <w:p w:rsidR="006448A9" w:rsidRDefault="006448A9" w:rsidP="00AF7FC0">
      <w:pPr>
        <w:spacing w:after="0" w:line="240" w:lineRule="auto"/>
        <w:jc w:val="both"/>
        <w:rPr>
          <w:iCs/>
          <w:sz w:val="23"/>
          <w:szCs w:val="23"/>
        </w:rPr>
      </w:pPr>
    </w:p>
    <w:p w:rsidR="006448A9" w:rsidRDefault="006448A9" w:rsidP="00AF7FC0">
      <w:pPr>
        <w:spacing w:after="0" w:line="240" w:lineRule="auto"/>
        <w:jc w:val="both"/>
        <w:rPr>
          <w:iCs/>
          <w:sz w:val="23"/>
          <w:szCs w:val="23"/>
        </w:rPr>
      </w:pPr>
    </w:p>
    <w:p w:rsidR="006448A9" w:rsidRDefault="006448A9" w:rsidP="00AF7FC0">
      <w:pPr>
        <w:spacing w:after="0" w:line="240" w:lineRule="auto"/>
        <w:jc w:val="both"/>
        <w:rPr>
          <w:iCs/>
          <w:sz w:val="23"/>
          <w:szCs w:val="23"/>
        </w:rPr>
      </w:pPr>
    </w:p>
    <w:tbl>
      <w:tblPr>
        <w:tblStyle w:val="TableGrid"/>
        <w:tblW w:w="0" w:type="auto"/>
        <w:tblLook w:val="04A0" w:firstRow="1" w:lastRow="0" w:firstColumn="1" w:lastColumn="0" w:noHBand="0" w:noVBand="1"/>
      </w:tblPr>
      <w:tblGrid>
        <w:gridCol w:w="4788"/>
        <w:gridCol w:w="4788"/>
      </w:tblGrid>
      <w:tr w:rsidR="00E95691" w:rsidTr="00E95691">
        <w:tc>
          <w:tcPr>
            <w:tcW w:w="4788" w:type="dxa"/>
            <w:shd w:val="clear" w:color="auto" w:fill="D9D9D9" w:themeFill="background1" w:themeFillShade="D9"/>
          </w:tcPr>
          <w:p w:rsidR="00E95691" w:rsidRDefault="00E95691" w:rsidP="00AF7FC0">
            <w:pPr>
              <w:jc w:val="both"/>
              <w:rPr>
                <w:iCs/>
                <w:sz w:val="23"/>
                <w:szCs w:val="23"/>
              </w:rPr>
            </w:pPr>
            <w:r>
              <w:rPr>
                <w:iCs/>
                <w:sz w:val="23"/>
                <w:szCs w:val="23"/>
              </w:rPr>
              <w:t>Data Element</w:t>
            </w:r>
          </w:p>
        </w:tc>
        <w:tc>
          <w:tcPr>
            <w:tcW w:w="4788" w:type="dxa"/>
            <w:shd w:val="clear" w:color="auto" w:fill="D9D9D9" w:themeFill="background1" w:themeFillShade="D9"/>
          </w:tcPr>
          <w:p w:rsidR="00E95691" w:rsidRDefault="00E95691" w:rsidP="00AF7FC0">
            <w:pPr>
              <w:jc w:val="both"/>
              <w:rPr>
                <w:iCs/>
                <w:sz w:val="23"/>
                <w:szCs w:val="23"/>
              </w:rPr>
            </w:pPr>
            <w:r>
              <w:rPr>
                <w:iCs/>
                <w:sz w:val="23"/>
                <w:szCs w:val="23"/>
              </w:rPr>
              <w:t>Description</w:t>
            </w:r>
          </w:p>
        </w:tc>
      </w:tr>
      <w:tr w:rsidR="00E95691" w:rsidTr="00E95691">
        <w:tc>
          <w:tcPr>
            <w:tcW w:w="4788" w:type="dxa"/>
          </w:tcPr>
          <w:p w:rsidR="00E95691" w:rsidRDefault="00E95691" w:rsidP="00AF7FC0">
            <w:pPr>
              <w:jc w:val="both"/>
              <w:rPr>
                <w:iCs/>
                <w:sz w:val="23"/>
                <w:szCs w:val="23"/>
              </w:rPr>
            </w:pPr>
            <w:r>
              <w:rPr>
                <w:iCs/>
                <w:sz w:val="23"/>
                <w:szCs w:val="23"/>
              </w:rPr>
              <w:t>Inspection / Laboratory Testing Status</w:t>
            </w:r>
          </w:p>
        </w:tc>
        <w:tc>
          <w:tcPr>
            <w:tcW w:w="4788" w:type="dxa"/>
          </w:tcPr>
          <w:p w:rsidR="00E95691" w:rsidRDefault="00E95691" w:rsidP="00AF7FC0">
            <w:pPr>
              <w:jc w:val="both"/>
              <w:rPr>
                <w:iCs/>
                <w:sz w:val="23"/>
                <w:szCs w:val="23"/>
              </w:rPr>
            </w:pPr>
            <w:r>
              <w:rPr>
                <w:iCs/>
                <w:sz w:val="23"/>
                <w:szCs w:val="23"/>
              </w:rPr>
              <w:t>A = Prior Notice (PN) anticipated arrival information</w:t>
            </w:r>
          </w:p>
        </w:tc>
      </w:tr>
      <w:tr w:rsidR="00E95691" w:rsidTr="00E95691">
        <w:tc>
          <w:tcPr>
            <w:tcW w:w="4788" w:type="dxa"/>
          </w:tcPr>
          <w:p w:rsidR="00E95691" w:rsidRDefault="00E95691" w:rsidP="006448A9">
            <w:pPr>
              <w:rPr>
                <w:iCs/>
                <w:sz w:val="23"/>
                <w:szCs w:val="23"/>
              </w:rPr>
            </w:pPr>
            <w:r>
              <w:rPr>
                <w:iCs/>
                <w:sz w:val="23"/>
                <w:szCs w:val="23"/>
              </w:rPr>
              <w:t>Requested or Scheduled Date of Inspection; Date of Previous Inspection/Laboratory Testing; Arrival Date</w:t>
            </w:r>
          </w:p>
        </w:tc>
        <w:tc>
          <w:tcPr>
            <w:tcW w:w="4788" w:type="dxa"/>
          </w:tcPr>
          <w:p w:rsidR="00E95691" w:rsidRDefault="006448A9" w:rsidP="00AF7FC0">
            <w:pPr>
              <w:jc w:val="both"/>
              <w:rPr>
                <w:iCs/>
                <w:sz w:val="23"/>
                <w:szCs w:val="23"/>
              </w:rPr>
            </w:pPr>
            <w:r>
              <w:rPr>
                <w:iCs/>
                <w:sz w:val="23"/>
                <w:szCs w:val="23"/>
              </w:rPr>
              <w:t>A numeric date in MMDDCCYY (month, day, century, year) format. This date will be validated against the license and registration date.</w:t>
            </w:r>
          </w:p>
        </w:tc>
      </w:tr>
    </w:tbl>
    <w:p w:rsidR="00E95691" w:rsidRDefault="00E95691" w:rsidP="00AF7FC0">
      <w:pPr>
        <w:spacing w:after="0" w:line="240" w:lineRule="auto"/>
        <w:jc w:val="both"/>
        <w:rPr>
          <w:iCs/>
          <w:sz w:val="23"/>
          <w:szCs w:val="23"/>
        </w:rPr>
      </w:pPr>
    </w:p>
    <w:p w:rsidR="00F336D3" w:rsidRDefault="00F336D3" w:rsidP="00AF7FC0">
      <w:pPr>
        <w:spacing w:after="0" w:line="240" w:lineRule="auto"/>
        <w:jc w:val="both"/>
        <w:rPr>
          <w:iCs/>
          <w:sz w:val="23"/>
          <w:szCs w:val="23"/>
        </w:rPr>
      </w:pPr>
    </w:p>
    <w:p w:rsidR="00F36766" w:rsidRDefault="006448A9" w:rsidP="00AF7FC0">
      <w:pPr>
        <w:spacing w:after="0" w:line="240" w:lineRule="auto"/>
        <w:jc w:val="both"/>
        <w:rPr>
          <w:iCs/>
        </w:rPr>
      </w:pPr>
      <w:r>
        <w:rPr>
          <w:iCs/>
        </w:rPr>
        <w:t xml:space="preserve">DIS Forms required: </w:t>
      </w:r>
      <w:r>
        <w:rPr>
          <w:rStyle w:val="Strong"/>
          <w:b w:val="0"/>
          <w:bCs w:val="0"/>
          <w:szCs w:val="24"/>
        </w:rPr>
        <w:t>The PGA information for DDTC can only be accepted by message set. No Document Imaging System required.</w:t>
      </w:r>
    </w:p>
    <w:p w:rsidR="00F36766" w:rsidRDefault="00F36766" w:rsidP="00AF7FC0">
      <w:pPr>
        <w:spacing w:after="0" w:line="240" w:lineRule="auto"/>
        <w:jc w:val="both"/>
        <w:rPr>
          <w:iCs/>
        </w:rPr>
      </w:pPr>
    </w:p>
    <w:p w:rsidR="00F36766" w:rsidRPr="006448A9" w:rsidRDefault="006448A9" w:rsidP="00AF7FC0">
      <w:pPr>
        <w:spacing w:after="0" w:line="240" w:lineRule="auto"/>
        <w:jc w:val="both"/>
        <w:rPr>
          <w:b/>
          <w:iCs/>
        </w:rPr>
      </w:pPr>
      <w:r w:rsidRPr="006448A9">
        <w:rPr>
          <w:b/>
          <w:iCs/>
        </w:rPr>
        <w:t>HTS Codes</w:t>
      </w:r>
    </w:p>
    <w:p w:rsidR="00F36766" w:rsidRDefault="00F36766" w:rsidP="00AF7FC0">
      <w:pPr>
        <w:spacing w:after="0" w:line="240" w:lineRule="auto"/>
        <w:jc w:val="both"/>
        <w:rPr>
          <w:iCs/>
        </w:rPr>
      </w:pPr>
    </w:p>
    <w:p w:rsidR="00F36766" w:rsidRDefault="00F36766" w:rsidP="00AF7FC0">
      <w:pPr>
        <w:spacing w:after="0" w:line="240" w:lineRule="auto"/>
        <w:jc w:val="both"/>
        <w:rPr>
          <w:iCs/>
        </w:rPr>
      </w:pPr>
    </w:p>
    <w:p w:rsidR="006448A9" w:rsidRDefault="006448A9" w:rsidP="006448A9">
      <w:pPr>
        <w:tabs>
          <w:tab w:val="left" w:pos="-1440"/>
        </w:tabs>
      </w:pPr>
      <w:r>
        <w:t xml:space="preserve">Contacts for various United States Munitions List (USML) commodities can be found at:  </w:t>
      </w:r>
      <w:hyperlink r:id="rId11" w:history="1">
        <w:r w:rsidRPr="003665E7">
          <w:rPr>
            <w:rStyle w:val="Hyperlink"/>
            <w:rFonts w:cstheme="minorBidi"/>
          </w:rPr>
          <w:t>https://www.pmddtc.state.gov/about/key_personnel.html</w:t>
        </w:r>
      </w:hyperlink>
    </w:p>
    <w:p w:rsidR="007130F9" w:rsidRDefault="007130F9" w:rsidP="00AF7FC0">
      <w:pPr>
        <w:spacing w:after="0" w:line="240" w:lineRule="auto"/>
        <w:jc w:val="both"/>
        <w:rPr>
          <w:iCs/>
        </w:rPr>
      </w:pPr>
    </w:p>
    <w:p w:rsidR="007130F9" w:rsidRDefault="006448A9" w:rsidP="00AF7FC0">
      <w:pPr>
        <w:spacing w:after="0" w:line="240" w:lineRule="auto"/>
        <w:jc w:val="both"/>
        <w:rPr>
          <w:b/>
          <w:iCs/>
        </w:rPr>
      </w:pPr>
      <w:r w:rsidRPr="006448A9">
        <w:rPr>
          <w:b/>
          <w:iCs/>
        </w:rPr>
        <w:t>DDTC Implementation Guide:</w:t>
      </w:r>
    </w:p>
    <w:p w:rsidR="006448A9" w:rsidRPr="006448A9" w:rsidRDefault="006448A9" w:rsidP="00AF7FC0">
      <w:pPr>
        <w:spacing w:after="0" w:line="240" w:lineRule="auto"/>
        <w:jc w:val="both"/>
        <w:rPr>
          <w:b/>
          <w:iCs/>
        </w:rPr>
      </w:pPr>
    </w:p>
    <w:p w:rsidR="006448A9" w:rsidRDefault="006448A9" w:rsidP="00AF7FC0">
      <w:pPr>
        <w:spacing w:after="0" w:line="240" w:lineRule="auto"/>
        <w:jc w:val="both"/>
        <w:rPr>
          <w:iCs/>
        </w:rPr>
      </w:pPr>
      <w:r>
        <w:rPr>
          <w:iCs/>
        </w:rPr>
        <w:t>The PGA message set chapter/implementation guide related to DDTC can be found at:</w:t>
      </w:r>
    </w:p>
    <w:p w:rsidR="006448A9" w:rsidRDefault="006448A9" w:rsidP="00AF7FC0">
      <w:pPr>
        <w:spacing w:after="0" w:line="240" w:lineRule="auto"/>
        <w:jc w:val="both"/>
        <w:rPr>
          <w:iCs/>
        </w:rPr>
      </w:pPr>
      <w:hyperlink r:id="rId12" w:history="1">
        <w:r w:rsidRPr="002E5C08">
          <w:rPr>
            <w:rStyle w:val="Hyperlink"/>
            <w:rFonts w:cstheme="minorBidi"/>
            <w:iCs/>
          </w:rPr>
          <w:t>http://www.cbp.gov/document/guidance/ddtc-implementation-guide-ig</w:t>
        </w:r>
      </w:hyperlink>
    </w:p>
    <w:p w:rsidR="006448A9" w:rsidRDefault="006448A9" w:rsidP="00AF7FC0">
      <w:pPr>
        <w:spacing w:after="0" w:line="240" w:lineRule="auto"/>
        <w:jc w:val="both"/>
        <w:rPr>
          <w:iCs/>
        </w:rPr>
      </w:pPr>
    </w:p>
    <w:p w:rsidR="007130F9" w:rsidRDefault="007130F9" w:rsidP="00AF7FC0">
      <w:pPr>
        <w:spacing w:after="0" w:line="240" w:lineRule="auto"/>
        <w:jc w:val="both"/>
        <w:rPr>
          <w:iCs/>
        </w:rPr>
      </w:pPr>
    </w:p>
    <w:p w:rsidR="007130F9" w:rsidRDefault="006448A9" w:rsidP="00AF7FC0">
      <w:pPr>
        <w:spacing w:after="0" w:line="240" w:lineRule="auto"/>
        <w:jc w:val="both"/>
        <w:rPr>
          <w:iCs/>
        </w:rPr>
      </w:pPr>
      <w:r>
        <w:rPr>
          <w:iCs/>
        </w:rPr>
        <w:t>The CATAIR chapters and appendices can be found on CBP.gov:</w:t>
      </w:r>
    </w:p>
    <w:p w:rsidR="006448A9" w:rsidRDefault="006448A9" w:rsidP="00AF7FC0">
      <w:pPr>
        <w:spacing w:after="0" w:line="240" w:lineRule="auto"/>
        <w:jc w:val="both"/>
        <w:rPr>
          <w:iCs/>
        </w:rPr>
      </w:pPr>
      <w:hyperlink r:id="rId13" w:history="1">
        <w:r w:rsidRPr="002E5C08">
          <w:rPr>
            <w:rStyle w:val="Hyperlink"/>
            <w:rFonts w:cstheme="minorBidi"/>
            <w:iCs/>
          </w:rPr>
          <w:t>http://www.cbp.gov/trade/ace/catair</w:t>
        </w:r>
      </w:hyperlink>
    </w:p>
    <w:p w:rsidR="006448A9" w:rsidRDefault="006448A9" w:rsidP="00AF7FC0">
      <w:pPr>
        <w:spacing w:after="0" w:line="240" w:lineRule="auto"/>
        <w:jc w:val="both"/>
        <w:rPr>
          <w:iCs/>
        </w:rPr>
      </w:pPr>
    </w:p>
    <w:p w:rsidR="007130F9" w:rsidRDefault="007130F9" w:rsidP="00AF7FC0">
      <w:pPr>
        <w:spacing w:after="0" w:line="240" w:lineRule="auto"/>
        <w:jc w:val="both"/>
        <w:rPr>
          <w:iCs/>
        </w:rPr>
      </w:pPr>
    </w:p>
    <w:p w:rsidR="007130F9" w:rsidRDefault="007130F9" w:rsidP="00AF7FC0">
      <w:pPr>
        <w:spacing w:after="0" w:line="240" w:lineRule="auto"/>
        <w:jc w:val="both"/>
        <w:rPr>
          <w:iCs/>
        </w:rPr>
      </w:pPr>
    </w:p>
    <w:p w:rsidR="007130F9" w:rsidRDefault="007130F9" w:rsidP="00AF7FC0">
      <w:pPr>
        <w:spacing w:after="0" w:line="240" w:lineRule="auto"/>
        <w:jc w:val="both"/>
        <w:rPr>
          <w:iCs/>
        </w:rPr>
      </w:pPr>
    </w:p>
    <w:p w:rsidR="007130F9" w:rsidRDefault="007130F9" w:rsidP="00AF7FC0">
      <w:pPr>
        <w:spacing w:after="0" w:line="240" w:lineRule="auto"/>
        <w:jc w:val="both"/>
        <w:rPr>
          <w:iCs/>
        </w:rPr>
      </w:pPr>
    </w:p>
    <w:p w:rsidR="007130F9" w:rsidRPr="00E2599E" w:rsidRDefault="00E2599E" w:rsidP="00E2599E">
      <w:pPr>
        <w:spacing w:after="0" w:line="240" w:lineRule="auto"/>
        <w:rPr>
          <w:rFonts w:asciiTheme="majorHAnsi" w:hAnsiTheme="majorHAnsi"/>
          <w:i/>
          <w:iCs/>
        </w:rPr>
      </w:pPr>
      <w:r w:rsidRPr="00E2599E">
        <w:rPr>
          <w:rFonts w:asciiTheme="majorHAnsi" w:hAnsiTheme="majorHAnsi"/>
          <w:i/>
        </w:rPr>
        <w:t>This material is provided for general informational purposes only.  It is not offered as and does not constitute legal advice. NCBFAA makes no representation regarding the completeness or accuracy of this information.  Readers of this material should not act or refrain from acting on the basis of this information without seeking appropriate legal or professional advice on the particular facts and circumstances at issue. </w:t>
      </w:r>
      <w:r w:rsidRPr="00E2599E">
        <w:rPr>
          <w:rFonts w:asciiTheme="majorHAnsi" w:hAnsiTheme="majorHAnsi" w:cs="Tahoma"/>
          <w:i/>
          <w:color w:val="000000"/>
        </w:rPr>
        <w:br/>
      </w:r>
    </w:p>
    <w:p w:rsidR="007130F9" w:rsidRDefault="007130F9" w:rsidP="00AF7FC0">
      <w:pPr>
        <w:spacing w:after="0" w:line="240" w:lineRule="auto"/>
        <w:jc w:val="both"/>
        <w:rPr>
          <w:iCs/>
        </w:rPr>
      </w:pPr>
    </w:p>
    <w:p w:rsidR="007130F9" w:rsidRDefault="007130F9" w:rsidP="00AF7FC0">
      <w:pPr>
        <w:spacing w:after="0" w:line="240" w:lineRule="auto"/>
        <w:jc w:val="both"/>
        <w:rPr>
          <w:iCs/>
        </w:rPr>
      </w:pPr>
    </w:p>
    <w:p w:rsidR="007130F9" w:rsidRDefault="007130F9" w:rsidP="00AF7FC0">
      <w:pPr>
        <w:spacing w:after="0" w:line="240" w:lineRule="auto"/>
        <w:jc w:val="both"/>
        <w:rPr>
          <w:iCs/>
        </w:rPr>
      </w:pPr>
    </w:p>
    <w:p w:rsidR="007130F9" w:rsidRDefault="007130F9" w:rsidP="00AF7FC0">
      <w:pPr>
        <w:spacing w:after="0" w:line="240" w:lineRule="auto"/>
        <w:jc w:val="both"/>
        <w:rPr>
          <w:iCs/>
        </w:rPr>
      </w:pPr>
      <w:bookmarkStart w:id="0" w:name="_GoBack"/>
      <w:bookmarkEnd w:id="0"/>
    </w:p>
    <w:p w:rsidR="007130F9" w:rsidRDefault="007130F9" w:rsidP="00AF7FC0">
      <w:pPr>
        <w:spacing w:after="0" w:line="240" w:lineRule="auto"/>
        <w:jc w:val="both"/>
        <w:rPr>
          <w:iCs/>
        </w:rPr>
      </w:pPr>
    </w:p>
    <w:p w:rsidR="00F36766" w:rsidRDefault="00F36766" w:rsidP="00AF7FC0">
      <w:pPr>
        <w:spacing w:after="0" w:line="240" w:lineRule="auto"/>
        <w:jc w:val="both"/>
        <w:rPr>
          <w:iCs/>
        </w:rPr>
      </w:pPr>
    </w:p>
    <w:p w:rsidR="00F36766" w:rsidRDefault="00F36766" w:rsidP="00AF7FC0">
      <w:pPr>
        <w:spacing w:after="0" w:line="240" w:lineRule="auto"/>
        <w:jc w:val="both"/>
        <w:rPr>
          <w:iCs/>
        </w:rPr>
      </w:pPr>
    </w:p>
    <w:p w:rsidR="00F36766" w:rsidRDefault="00F36766" w:rsidP="00AF7FC0">
      <w:pPr>
        <w:spacing w:after="0" w:line="240" w:lineRule="auto"/>
        <w:jc w:val="both"/>
        <w:rPr>
          <w:iCs/>
        </w:rPr>
      </w:pPr>
    </w:p>
    <w:p w:rsidR="00F36766" w:rsidRDefault="00F36766" w:rsidP="00AF7FC0">
      <w:pPr>
        <w:spacing w:after="0" w:line="240" w:lineRule="auto"/>
        <w:jc w:val="both"/>
        <w:rPr>
          <w:iCs/>
        </w:rPr>
      </w:pPr>
    </w:p>
    <w:p w:rsidR="00F36766" w:rsidRDefault="00F36766" w:rsidP="00AF7FC0">
      <w:pPr>
        <w:spacing w:after="0" w:line="240" w:lineRule="auto"/>
        <w:jc w:val="both"/>
        <w:rPr>
          <w:iCs/>
        </w:rPr>
      </w:pPr>
    </w:p>
    <w:p w:rsidR="00F36766" w:rsidRDefault="00F36766" w:rsidP="00AF7FC0">
      <w:pPr>
        <w:spacing w:after="0" w:line="240" w:lineRule="auto"/>
        <w:jc w:val="both"/>
        <w:rPr>
          <w:iCs/>
        </w:rPr>
      </w:pPr>
    </w:p>
    <w:p w:rsidR="00F36766" w:rsidRDefault="00F36766" w:rsidP="00AF7FC0">
      <w:pPr>
        <w:spacing w:after="0" w:line="240" w:lineRule="auto"/>
        <w:jc w:val="both"/>
        <w:rPr>
          <w:iCs/>
        </w:rPr>
      </w:pPr>
    </w:p>
    <w:p w:rsidR="00F36766" w:rsidRDefault="00F36766" w:rsidP="00AF7FC0">
      <w:pPr>
        <w:spacing w:after="0" w:line="240" w:lineRule="auto"/>
        <w:jc w:val="both"/>
        <w:rPr>
          <w:b/>
          <w:iCs/>
        </w:rPr>
      </w:pPr>
      <w:r>
        <w:rPr>
          <w:b/>
          <w:iCs/>
        </w:rPr>
        <w:t>Appendix A:</w:t>
      </w:r>
    </w:p>
    <w:p w:rsidR="00F36766" w:rsidRDefault="00F36766" w:rsidP="00AF7FC0">
      <w:pPr>
        <w:spacing w:after="0" w:line="240" w:lineRule="auto"/>
        <w:jc w:val="both"/>
        <w:rPr>
          <w:iCs/>
        </w:rPr>
      </w:pPr>
    </w:p>
    <w:p w:rsidR="00F36766" w:rsidRDefault="00F36766" w:rsidP="00AF7FC0">
      <w:pPr>
        <w:spacing w:after="0" w:line="240" w:lineRule="auto"/>
        <w:jc w:val="both"/>
        <w:rPr>
          <w:iCs/>
        </w:rPr>
      </w:pPr>
      <w:r>
        <w:rPr>
          <w:lang w:eastAsia="x-none"/>
        </w:rPr>
        <w:t xml:space="preserve">Exemption codes applicable for DDTC </w:t>
      </w:r>
      <w:r>
        <w:t>regulated temporary import</w:t>
      </w:r>
      <w:r>
        <w:rPr>
          <w:lang w:eastAsia="x-none"/>
        </w:rPr>
        <w:t xml:space="preserve"> exemptions</w:t>
      </w:r>
    </w:p>
    <w:p w:rsidR="00F36766" w:rsidRDefault="00F36766" w:rsidP="00AF7FC0">
      <w:pPr>
        <w:spacing w:after="0" w:line="240" w:lineRule="auto"/>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152"/>
        <w:gridCol w:w="6768"/>
      </w:tblGrid>
      <w:tr w:rsidR="00F36766" w:rsidRPr="002067CF" w:rsidTr="00C24A12">
        <w:trPr>
          <w:cantSplit/>
          <w:trHeight w:val="350"/>
          <w:tblHeader/>
        </w:trPr>
        <w:tc>
          <w:tcPr>
            <w:tcW w:w="1584" w:type="dxa"/>
            <w:shd w:val="clear" w:color="auto" w:fill="D9D9D9"/>
            <w:vAlign w:val="center"/>
          </w:tcPr>
          <w:p w:rsidR="00F36766" w:rsidRPr="002579C7" w:rsidRDefault="00F36766" w:rsidP="00C24A12">
            <w:pPr>
              <w:rPr>
                <w:b/>
                <w:bCs/>
                <w:i/>
                <w:sz w:val="20"/>
              </w:rPr>
            </w:pPr>
            <w:r w:rsidRPr="002579C7">
              <w:rPr>
                <w:b/>
                <w:bCs/>
                <w:i/>
                <w:sz w:val="20"/>
              </w:rPr>
              <w:t>Data Element</w:t>
            </w:r>
          </w:p>
        </w:tc>
        <w:tc>
          <w:tcPr>
            <w:tcW w:w="1080" w:type="dxa"/>
            <w:shd w:val="clear" w:color="auto" w:fill="D9D9D9"/>
            <w:vAlign w:val="center"/>
          </w:tcPr>
          <w:p w:rsidR="00F36766" w:rsidRPr="00F50F73" w:rsidRDefault="00F36766" w:rsidP="00C24A12">
            <w:pPr>
              <w:rPr>
                <w:b/>
                <w:bCs/>
                <w:i/>
                <w:sz w:val="20"/>
              </w:rPr>
            </w:pPr>
            <w:r w:rsidRPr="00F50F73">
              <w:rPr>
                <w:b/>
                <w:bCs/>
                <w:i/>
                <w:sz w:val="20"/>
              </w:rPr>
              <w:t>Code</w:t>
            </w:r>
          </w:p>
        </w:tc>
        <w:tc>
          <w:tcPr>
            <w:tcW w:w="6768" w:type="dxa"/>
            <w:shd w:val="clear" w:color="auto" w:fill="D9D9D9"/>
            <w:vAlign w:val="center"/>
          </w:tcPr>
          <w:p w:rsidR="00F36766" w:rsidRPr="00F50F73" w:rsidRDefault="00F36766" w:rsidP="00C24A12">
            <w:pPr>
              <w:rPr>
                <w:b/>
                <w:bCs/>
                <w:i/>
                <w:sz w:val="20"/>
              </w:rPr>
            </w:pPr>
            <w:r w:rsidRPr="00F50F73">
              <w:rPr>
                <w:b/>
                <w:bCs/>
                <w:i/>
                <w:sz w:val="20"/>
              </w:rPr>
              <w:t>Description</w:t>
            </w:r>
          </w:p>
        </w:tc>
      </w:tr>
      <w:tr w:rsidR="00F36766" w:rsidRPr="0075740A" w:rsidTr="00C24A12">
        <w:trPr>
          <w:cantSplit/>
        </w:trPr>
        <w:tc>
          <w:tcPr>
            <w:tcW w:w="1584" w:type="dxa"/>
            <w:vMerge w:val="restart"/>
            <w:shd w:val="clear" w:color="auto" w:fill="auto"/>
            <w:vAlign w:val="center"/>
          </w:tcPr>
          <w:p w:rsidR="00F36766" w:rsidRPr="00F50F73" w:rsidRDefault="00F36766" w:rsidP="00C24A12">
            <w:pPr>
              <w:jc w:val="center"/>
              <w:rPr>
                <w:rFonts w:eastAsia="Calibri"/>
              </w:rPr>
            </w:pPr>
            <w:r>
              <w:rPr>
                <w:color w:val="000000"/>
              </w:rPr>
              <w:t>Exemption Code</w:t>
            </w:r>
            <w:r w:rsidRPr="00F50F73">
              <w:rPr>
                <w:rFonts w:eastAsia="Calibri"/>
              </w:rPr>
              <w:t xml:space="preserve"> </w:t>
            </w:r>
          </w:p>
        </w:tc>
        <w:tc>
          <w:tcPr>
            <w:tcW w:w="1080" w:type="dxa"/>
            <w:shd w:val="clear" w:color="auto" w:fill="auto"/>
          </w:tcPr>
          <w:p w:rsidR="00F36766" w:rsidRPr="00F50F73" w:rsidRDefault="00F36766" w:rsidP="00C24A12">
            <w:r w:rsidRPr="00F50F73">
              <w:t>123.4a1</w:t>
            </w:r>
          </w:p>
        </w:tc>
        <w:tc>
          <w:tcPr>
            <w:tcW w:w="6768" w:type="dxa"/>
            <w:shd w:val="clear" w:color="auto" w:fill="auto"/>
          </w:tcPr>
          <w:p w:rsidR="00F36766" w:rsidRPr="002579C7" w:rsidRDefault="00F36766" w:rsidP="00C24A12">
            <w:r w:rsidRPr="00F24DE2">
              <w:t>Temporary import of U.S. – origin defense items for servicing, inspection, testing, calibration, repair, overhaul, reconditioning, or one-to-one replacement of defective items.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123.4a2</w:t>
            </w:r>
          </w:p>
        </w:tc>
        <w:tc>
          <w:tcPr>
            <w:tcW w:w="6768" w:type="dxa"/>
            <w:shd w:val="clear" w:color="auto" w:fill="auto"/>
          </w:tcPr>
          <w:p w:rsidR="00F36766" w:rsidRPr="002579C7" w:rsidRDefault="00F36766" w:rsidP="00C24A12">
            <w:r w:rsidRPr="00F24DE2">
              <w:t>Temporary import of U.S. – origin defense item to be enhanced, upgraded, or incorporated into another item for which the permanent export has been authorized by Directorate of Defense Controls.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123.4a3</w:t>
            </w:r>
          </w:p>
        </w:tc>
        <w:tc>
          <w:tcPr>
            <w:tcW w:w="6768" w:type="dxa"/>
            <w:shd w:val="clear" w:color="auto" w:fill="auto"/>
          </w:tcPr>
          <w:p w:rsidR="00F36766" w:rsidRPr="002579C7" w:rsidRDefault="00F36766" w:rsidP="00C24A12">
            <w:r w:rsidRPr="00F24DE2">
              <w:t>Temporary import of U.S. – origin defense items for exhibition, demonstration or marketing.</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123.4a4</w:t>
            </w:r>
          </w:p>
        </w:tc>
        <w:tc>
          <w:tcPr>
            <w:tcW w:w="6768" w:type="dxa"/>
            <w:shd w:val="clear" w:color="auto" w:fill="auto"/>
          </w:tcPr>
          <w:p w:rsidR="00F36766" w:rsidRPr="002579C7" w:rsidRDefault="00F36766" w:rsidP="00C24A12">
            <w:r w:rsidRPr="00F24DE2">
              <w:t>Temporary import of U.S. – origin defense items which have been rejected for permanent import by Department of Treasury.</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123.4a5</w:t>
            </w:r>
          </w:p>
        </w:tc>
        <w:tc>
          <w:tcPr>
            <w:tcW w:w="6768" w:type="dxa"/>
            <w:shd w:val="clear" w:color="auto" w:fill="auto"/>
          </w:tcPr>
          <w:p w:rsidR="00F36766" w:rsidRPr="002579C7" w:rsidRDefault="00F36766" w:rsidP="00C24A12">
            <w:r w:rsidRPr="00F24DE2">
              <w:t>Temporary import of U.S. – origin defense items approved for import under Foreign Military Sales Program.</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123.4b</w:t>
            </w:r>
          </w:p>
        </w:tc>
        <w:tc>
          <w:tcPr>
            <w:tcW w:w="6768" w:type="dxa"/>
            <w:shd w:val="clear" w:color="auto" w:fill="auto"/>
          </w:tcPr>
          <w:p w:rsidR="00F36766" w:rsidRPr="002579C7" w:rsidRDefault="00F36766" w:rsidP="00C24A12">
            <w:r w:rsidRPr="00F24DE2">
              <w:t>Temporary import but not subsequent export of item incorporated into another article or modified and enhanced.</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123.6</w:t>
            </w:r>
          </w:p>
        </w:tc>
        <w:tc>
          <w:tcPr>
            <w:tcW w:w="6768" w:type="dxa"/>
            <w:shd w:val="clear" w:color="auto" w:fill="auto"/>
          </w:tcPr>
          <w:p w:rsidR="00F36766" w:rsidRPr="002579C7" w:rsidRDefault="00F36766" w:rsidP="00C24A12">
            <w:r w:rsidRPr="00F24DE2">
              <w:t>From the United States to foreign trade zones in the United States or Customs bonded warehouse.</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123.12</w:t>
            </w:r>
          </w:p>
        </w:tc>
        <w:tc>
          <w:tcPr>
            <w:tcW w:w="6768" w:type="dxa"/>
            <w:shd w:val="clear" w:color="auto" w:fill="auto"/>
          </w:tcPr>
          <w:p w:rsidR="00F36766" w:rsidRPr="002579C7" w:rsidRDefault="00F36766" w:rsidP="00C24A12">
            <w:r w:rsidRPr="00F24DE2">
              <w:t>Shipments between U.S. possessions.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123.13</w:t>
            </w:r>
          </w:p>
        </w:tc>
        <w:tc>
          <w:tcPr>
            <w:tcW w:w="6768" w:type="dxa"/>
            <w:shd w:val="clear" w:color="auto" w:fill="auto"/>
          </w:tcPr>
          <w:p w:rsidR="00F36766" w:rsidRPr="002579C7" w:rsidRDefault="00F36766" w:rsidP="00C24A12">
            <w:r w:rsidRPr="00F24DE2">
              <w:t>Defense article on domestic air shipment via foreign country.</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123.19</w:t>
            </w:r>
          </w:p>
        </w:tc>
        <w:tc>
          <w:tcPr>
            <w:tcW w:w="6768" w:type="dxa"/>
            <w:shd w:val="clear" w:color="auto" w:fill="auto"/>
          </w:tcPr>
          <w:p w:rsidR="00F36766" w:rsidRPr="002579C7" w:rsidRDefault="00F36766" w:rsidP="00C24A12">
            <w:r w:rsidRPr="00F24DE2">
              <w:t>Canadian and Mexican border shipments.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123.23</w:t>
            </w:r>
          </w:p>
        </w:tc>
        <w:tc>
          <w:tcPr>
            <w:tcW w:w="6768" w:type="dxa"/>
            <w:shd w:val="clear" w:color="auto" w:fill="auto"/>
          </w:tcPr>
          <w:p w:rsidR="00F36766" w:rsidRPr="002579C7" w:rsidRDefault="00F36766" w:rsidP="00C24A12">
            <w:r w:rsidRPr="00F24DE2">
              <w:t>Shipments when the total value does not exceed the value on the license by more than ten percent.</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126.2</w:t>
            </w:r>
          </w:p>
        </w:tc>
        <w:tc>
          <w:tcPr>
            <w:tcW w:w="6768" w:type="dxa"/>
            <w:shd w:val="clear" w:color="auto" w:fill="auto"/>
          </w:tcPr>
          <w:p w:rsidR="00F36766" w:rsidRPr="002579C7" w:rsidRDefault="00F36766" w:rsidP="00C24A12">
            <w:r w:rsidRPr="00F24DE2">
              <w:t>The DAS for DTC may order the temporary suspension or modification of any or all of the regulations in the interest of the security and foreign policy of the United States.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126.3</w:t>
            </w:r>
          </w:p>
        </w:tc>
        <w:tc>
          <w:tcPr>
            <w:tcW w:w="6768" w:type="dxa"/>
            <w:shd w:val="clear" w:color="auto" w:fill="auto"/>
          </w:tcPr>
          <w:p w:rsidR="00F36766" w:rsidRPr="002579C7" w:rsidRDefault="00F36766" w:rsidP="00C24A12">
            <w:r w:rsidRPr="00F24DE2">
              <w:t>Exceptional or undue hardship, or otherwise in the interest of the U.S. Government.</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126.4a</w:t>
            </w:r>
          </w:p>
        </w:tc>
        <w:tc>
          <w:tcPr>
            <w:tcW w:w="6768" w:type="dxa"/>
            <w:shd w:val="clear" w:color="auto" w:fill="auto"/>
          </w:tcPr>
          <w:p w:rsidR="00F36766" w:rsidRPr="002579C7" w:rsidRDefault="00F36766" w:rsidP="00C24A12">
            <w:r w:rsidRPr="00F24DE2">
              <w:t>Temporary import or temporary export of defense article, technical data, or defense service by or for agency of U.S. Government.</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126.4c</w:t>
            </w:r>
          </w:p>
        </w:tc>
        <w:tc>
          <w:tcPr>
            <w:tcW w:w="6768" w:type="dxa"/>
            <w:shd w:val="clear" w:color="auto" w:fill="auto"/>
          </w:tcPr>
          <w:p w:rsidR="00F36766" w:rsidRPr="002579C7" w:rsidRDefault="00F36766" w:rsidP="00C24A12">
            <w:r w:rsidRPr="00F24DE2">
              <w:t>Temporary import, temporary export, or permanent export of defense article, technical data, or defense service for end-use by U.S. Government agency in foreign country.</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126.5a</w:t>
            </w:r>
          </w:p>
        </w:tc>
        <w:tc>
          <w:tcPr>
            <w:tcW w:w="6768" w:type="dxa"/>
            <w:shd w:val="clear" w:color="auto" w:fill="auto"/>
          </w:tcPr>
          <w:p w:rsidR="00F36766" w:rsidRPr="002579C7" w:rsidRDefault="00F36766" w:rsidP="00C24A12">
            <w:r w:rsidRPr="00F24DE2">
              <w:t>Temporary import and return to Canada of unclassified defense articles originating from Canada.</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F50F73" w:rsidRDefault="00F36766" w:rsidP="00C24A12">
            <w:r w:rsidRPr="002579C7">
              <w:t>12</w:t>
            </w:r>
            <w:r w:rsidRPr="00F50F73">
              <w:t>6.6b</w:t>
            </w:r>
          </w:p>
        </w:tc>
        <w:tc>
          <w:tcPr>
            <w:tcW w:w="6768" w:type="dxa"/>
            <w:shd w:val="clear" w:color="auto" w:fill="auto"/>
          </w:tcPr>
          <w:p w:rsidR="00F36766" w:rsidRPr="002579C7" w:rsidRDefault="00F36766" w:rsidP="00C24A12">
            <w:r w:rsidRPr="00F24DE2">
              <w:t>Temporary imports of foreign military aircraft or foreign naval vessels if no overhaul, repair, or modification of the aircraft or naval vessel is to be performed.</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126.6c</w:t>
            </w:r>
          </w:p>
        </w:tc>
        <w:tc>
          <w:tcPr>
            <w:tcW w:w="6768" w:type="dxa"/>
            <w:shd w:val="clear" w:color="auto" w:fill="auto"/>
          </w:tcPr>
          <w:p w:rsidR="00F36766" w:rsidRPr="002579C7" w:rsidRDefault="00F36766" w:rsidP="00C24A12">
            <w:r w:rsidRPr="00F24DE2">
              <w:t>Defense article, technical data, or defense service sold, leased, or loaned by Department of Defense under Foreign Military Sales Program.</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2579C7" w:rsidRDefault="00F36766" w:rsidP="00C24A12">
            <w:r w:rsidRPr="002579C7">
              <w:t>126.16e1</w:t>
            </w:r>
          </w:p>
        </w:tc>
        <w:tc>
          <w:tcPr>
            <w:tcW w:w="6768" w:type="dxa"/>
            <w:shd w:val="clear" w:color="auto" w:fill="auto"/>
          </w:tcPr>
          <w:p w:rsidR="00F36766" w:rsidRPr="002579C7" w:rsidRDefault="00F36766" w:rsidP="00C24A12">
            <w:r w:rsidRPr="00F24DE2">
              <w:t>United States and Australian combined military or counter-terrorism operations.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F50F73" w:rsidRDefault="00F36766" w:rsidP="00C24A12">
            <w:r w:rsidRPr="002579C7">
              <w:t>126.16e2</w:t>
            </w:r>
          </w:p>
        </w:tc>
        <w:tc>
          <w:tcPr>
            <w:tcW w:w="6768" w:type="dxa"/>
            <w:shd w:val="clear" w:color="auto" w:fill="auto"/>
          </w:tcPr>
          <w:p w:rsidR="00F36766" w:rsidRPr="002579C7" w:rsidRDefault="00F36766" w:rsidP="00C24A12">
            <w:r w:rsidRPr="00F24DE2">
              <w:t>United States and Australian cooperative security and defense research, development, production, and support programs.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F50F73" w:rsidRDefault="00F36766" w:rsidP="00C24A12">
            <w:r w:rsidRPr="002579C7">
              <w:t>126.16e3</w:t>
            </w:r>
          </w:p>
        </w:tc>
        <w:tc>
          <w:tcPr>
            <w:tcW w:w="6768" w:type="dxa"/>
            <w:shd w:val="clear" w:color="auto" w:fill="auto"/>
          </w:tcPr>
          <w:p w:rsidR="00F36766" w:rsidRPr="002579C7" w:rsidRDefault="00F36766" w:rsidP="00C24A12">
            <w:r w:rsidRPr="00F24DE2">
              <w:t>Mutually determined specific security and defense projects where the Government of Australia is the end-user.</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F50F73" w:rsidRDefault="00F36766" w:rsidP="00C24A12">
            <w:r w:rsidRPr="002579C7">
              <w:t>126.16e4</w:t>
            </w:r>
          </w:p>
        </w:tc>
        <w:tc>
          <w:tcPr>
            <w:tcW w:w="6768" w:type="dxa"/>
            <w:shd w:val="clear" w:color="auto" w:fill="auto"/>
          </w:tcPr>
          <w:p w:rsidR="00F36766" w:rsidRPr="002579C7" w:rsidRDefault="00F36766" w:rsidP="00C24A12">
            <w:r w:rsidRPr="00F24DE2">
              <w:t>Defense Trade Cooperation Treaty between United States and Australia for U.S. Government end-use.</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F50F73" w:rsidRDefault="00F36766" w:rsidP="00C24A12">
            <w:r w:rsidRPr="002579C7">
              <w:t>126.17</w:t>
            </w:r>
            <w:r w:rsidRPr="00F50F73">
              <w:t>e1</w:t>
            </w:r>
          </w:p>
        </w:tc>
        <w:tc>
          <w:tcPr>
            <w:tcW w:w="6768" w:type="dxa"/>
            <w:shd w:val="clear" w:color="auto" w:fill="auto"/>
          </w:tcPr>
          <w:p w:rsidR="00F36766" w:rsidRPr="002579C7" w:rsidRDefault="00F36766" w:rsidP="00C24A12">
            <w:r w:rsidRPr="00F24DE2">
              <w:t>United States and United Kingdom combined military or counter-terrorism operations.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F50F73" w:rsidRDefault="00F36766" w:rsidP="00C24A12">
            <w:r w:rsidRPr="002579C7">
              <w:t>126.17</w:t>
            </w:r>
            <w:r w:rsidRPr="00F50F73">
              <w:t>e2</w:t>
            </w:r>
          </w:p>
        </w:tc>
        <w:tc>
          <w:tcPr>
            <w:tcW w:w="6768" w:type="dxa"/>
            <w:shd w:val="clear" w:color="auto" w:fill="auto"/>
          </w:tcPr>
          <w:p w:rsidR="00F36766" w:rsidRPr="002579C7" w:rsidRDefault="00F36766" w:rsidP="00C24A12">
            <w:r w:rsidRPr="00F24DE2">
              <w:t>United States and United Kingdom cooperative security and defense research, development, production, and support programs.</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F50F73" w:rsidRDefault="00F36766" w:rsidP="00C24A12">
            <w:r w:rsidRPr="002579C7">
              <w:t>126.17</w:t>
            </w:r>
            <w:r w:rsidRPr="00F50F73">
              <w:t>e3</w:t>
            </w:r>
          </w:p>
        </w:tc>
        <w:tc>
          <w:tcPr>
            <w:tcW w:w="6768" w:type="dxa"/>
            <w:shd w:val="clear" w:color="auto" w:fill="auto"/>
          </w:tcPr>
          <w:p w:rsidR="00F36766" w:rsidRPr="002579C7" w:rsidRDefault="00F36766" w:rsidP="00C24A12">
            <w:r w:rsidRPr="00F24DE2">
              <w:t xml:space="preserve">Mutually determined specific security and defense projects where the Government of the United Kingdom is the end-user. </w:t>
            </w:r>
          </w:p>
        </w:tc>
      </w:tr>
      <w:tr w:rsidR="00F36766" w:rsidRPr="0075740A" w:rsidTr="00C24A12">
        <w:trPr>
          <w:cantSplit/>
        </w:trPr>
        <w:tc>
          <w:tcPr>
            <w:tcW w:w="1584" w:type="dxa"/>
            <w:vMerge/>
            <w:shd w:val="clear" w:color="auto" w:fill="auto"/>
            <w:vAlign w:val="center"/>
          </w:tcPr>
          <w:p w:rsidR="00F36766" w:rsidRPr="00F24DE2" w:rsidRDefault="00F36766" w:rsidP="00C24A12">
            <w:pPr>
              <w:jc w:val="center"/>
              <w:rPr>
                <w:rFonts w:eastAsia="Calibri"/>
              </w:rPr>
            </w:pPr>
          </w:p>
        </w:tc>
        <w:tc>
          <w:tcPr>
            <w:tcW w:w="1080" w:type="dxa"/>
            <w:shd w:val="clear" w:color="auto" w:fill="auto"/>
          </w:tcPr>
          <w:p w:rsidR="00F36766" w:rsidRPr="00F50F73" w:rsidRDefault="00F36766" w:rsidP="00C24A12">
            <w:r w:rsidRPr="002579C7">
              <w:t>126.17</w:t>
            </w:r>
            <w:r w:rsidRPr="00F50F73">
              <w:t>e4</w:t>
            </w:r>
          </w:p>
        </w:tc>
        <w:tc>
          <w:tcPr>
            <w:tcW w:w="6768" w:type="dxa"/>
            <w:shd w:val="clear" w:color="auto" w:fill="auto"/>
          </w:tcPr>
          <w:p w:rsidR="00F36766" w:rsidRPr="002579C7" w:rsidRDefault="00F36766" w:rsidP="00C24A12">
            <w:r w:rsidRPr="00F24DE2">
              <w:t>Defense Trade Cooperation Treaty between United States and United Kingdom for U.S. Government end-use.</w:t>
            </w:r>
          </w:p>
        </w:tc>
      </w:tr>
    </w:tbl>
    <w:p w:rsidR="00F36766" w:rsidRDefault="00F36766" w:rsidP="00AF7FC0">
      <w:pPr>
        <w:spacing w:after="0" w:line="240" w:lineRule="auto"/>
        <w:jc w:val="both"/>
        <w:rPr>
          <w:i/>
          <w:iCs/>
          <w:sz w:val="23"/>
          <w:szCs w:val="23"/>
        </w:rPr>
      </w:pPr>
    </w:p>
    <w:p w:rsidR="004C37BB" w:rsidRDefault="004C37BB" w:rsidP="00751DE7">
      <w:pPr>
        <w:tabs>
          <w:tab w:val="left" w:pos="-1440"/>
        </w:tabs>
        <w:jc w:val="both"/>
        <w:rPr>
          <w:b/>
          <w:color w:val="FF0000"/>
          <w:szCs w:val="24"/>
          <w:highlight w:val="yellow"/>
          <w:shd w:val="clear" w:color="auto" w:fill="FFFFFF"/>
        </w:rPr>
      </w:pPr>
    </w:p>
    <w:p w:rsidR="00BE072E" w:rsidRDefault="00F36766" w:rsidP="006F6527">
      <w:pPr>
        <w:rPr>
          <w:lang w:eastAsia="x-none"/>
        </w:rPr>
      </w:pPr>
      <w:r>
        <w:rPr>
          <w:lang w:eastAsia="x-none"/>
        </w:rPr>
        <w:t xml:space="preserve">Exemption codes applicable for DDTC </w:t>
      </w:r>
      <w:r>
        <w:t>regulated temporary export</w:t>
      </w:r>
      <w:r>
        <w:rPr>
          <w:lang w:eastAsia="x-none"/>
        </w:rPr>
        <w:t xml:space="preserve"> exemptions: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159"/>
        <w:gridCol w:w="6693"/>
      </w:tblGrid>
      <w:tr w:rsidR="00F36766" w:rsidRPr="002067CF" w:rsidTr="00C24A12">
        <w:trPr>
          <w:cantSplit/>
          <w:trHeight w:val="350"/>
          <w:tblHeader/>
        </w:trPr>
        <w:tc>
          <w:tcPr>
            <w:tcW w:w="1728" w:type="dxa"/>
            <w:shd w:val="clear" w:color="auto" w:fill="D9D9D9"/>
            <w:vAlign w:val="center"/>
          </w:tcPr>
          <w:p w:rsidR="00F36766" w:rsidRPr="00F50F73" w:rsidRDefault="00F36766" w:rsidP="00C24A12">
            <w:pPr>
              <w:rPr>
                <w:b/>
                <w:bCs/>
                <w:i/>
                <w:sz w:val="20"/>
              </w:rPr>
            </w:pPr>
            <w:r w:rsidRPr="002579C7">
              <w:rPr>
                <w:b/>
                <w:bCs/>
                <w:i/>
                <w:sz w:val="20"/>
              </w:rPr>
              <w:t>Data Element</w:t>
            </w:r>
          </w:p>
        </w:tc>
        <w:tc>
          <w:tcPr>
            <w:tcW w:w="1080" w:type="dxa"/>
            <w:shd w:val="clear" w:color="auto" w:fill="D9D9D9"/>
            <w:vAlign w:val="center"/>
          </w:tcPr>
          <w:p w:rsidR="00F36766" w:rsidRPr="00F50F73" w:rsidRDefault="00F36766" w:rsidP="00C24A12">
            <w:pPr>
              <w:rPr>
                <w:b/>
                <w:bCs/>
                <w:i/>
                <w:sz w:val="20"/>
              </w:rPr>
            </w:pPr>
            <w:r w:rsidRPr="00F50F73">
              <w:rPr>
                <w:b/>
                <w:bCs/>
                <w:i/>
                <w:sz w:val="20"/>
              </w:rPr>
              <w:t>Code</w:t>
            </w:r>
          </w:p>
        </w:tc>
        <w:tc>
          <w:tcPr>
            <w:tcW w:w="6750" w:type="dxa"/>
            <w:shd w:val="clear" w:color="auto" w:fill="D9D9D9"/>
            <w:vAlign w:val="center"/>
          </w:tcPr>
          <w:p w:rsidR="00F36766" w:rsidRPr="00F50F73" w:rsidRDefault="00F36766" w:rsidP="00C24A12">
            <w:pPr>
              <w:rPr>
                <w:b/>
                <w:bCs/>
                <w:i/>
                <w:sz w:val="20"/>
              </w:rPr>
            </w:pPr>
            <w:r w:rsidRPr="00F50F73">
              <w:rPr>
                <w:b/>
                <w:bCs/>
                <w:i/>
                <w:sz w:val="20"/>
              </w:rPr>
              <w:t>Description</w:t>
            </w:r>
          </w:p>
        </w:tc>
      </w:tr>
      <w:tr w:rsidR="00F36766" w:rsidRPr="0075740A" w:rsidTr="00C24A12">
        <w:trPr>
          <w:cantSplit/>
        </w:trPr>
        <w:tc>
          <w:tcPr>
            <w:tcW w:w="1728" w:type="dxa"/>
            <w:vMerge w:val="restart"/>
            <w:vAlign w:val="center"/>
          </w:tcPr>
          <w:p w:rsidR="00F36766" w:rsidRPr="00EB078C" w:rsidRDefault="00F36766" w:rsidP="00C24A12">
            <w:pPr>
              <w:spacing w:before="40" w:after="40"/>
              <w:jc w:val="center"/>
            </w:pPr>
            <w:r>
              <w:rPr>
                <w:color w:val="000000"/>
              </w:rPr>
              <w:t>Exemption Code</w:t>
            </w:r>
          </w:p>
        </w:tc>
        <w:tc>
          <w:tcPr>
            <w:tcW w:w="1080" w:type="dxa"/>
            <w:shd w:val="clear" w:color="auto" w:fill="auto"/>
          </w:tcPr>
          <w:p w:rsidR="00F36766" w:rsidRPr="00EB078C" w:rsidRDefault="00F36766" w:rsidP="00C24A12">
            <w:pPr>
              <w:spacing w:before="40" w:after="40"/>
            </w:pPr>
            <w:r w:rsidRPr="00EB078C">
              <w:t>123.6</w:t>
            </w:r>
          </w:p>
        </w:tc>
        <w:tc>
          <w:tcPr>
            <w:tcW w:w="6750" w:type="dxa"/>
            <w:shd w:val="clear" w:color="auto" w:fill="auto"/>
          </w:tcPr>
          <w:p w:rsidR="00F36766" w:rsidRPr="00EB078C" w:rsidRDefault="00F36766" w:rsidP="00C24A12">
            <w:pPr>
              <w:spacing w:before="40" w:after="40"/>
            </w:pPr>
            <w:r w:rsidRPr="00EB078C">
              <w:t>From the United States to foreign trade zones in the United States or Customs bonded warehouse.</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123.11</w:t>
            </w:r>
            <w:r w:rsidRPr="00EB078C">
              <w:t>b</w:t>
            </w:r>
          </w:p>
        </w:tc>
        <w:tc>
          <w:tcPr>
            <w:tcW w:w="6750" w:type="dxa"/>
            <w:shd w:val="clear" w:color="auto" w:fill="auto"/>
          </w:tcPr>
          <w:p w:rsidR="00F36766" w:rsidRPr="00EB078C" w:rsidRDefault="00F36766" w:rsidP="00C24A12">
            <w:pPr>
              <w:spacing w:before="40" w:after="40"/>
            </w:pPr>
            <w:r w:rsidRPr="00EB078C">
              <w:t>Vessel or aircraft does not enter territorial waters or airspace of a foreign country, and no defense articles are carried as cargo.</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123.12</w:t>
            </w:r>
          </w:p>
        </w:tc>
        <w:tc>
          <w:tcPr>
            <w:tcW w:w="6750" w:type="dxa"/>
            <w:shd w:val="clear" w:color="auto" w:fill="auto"/>
          </w:tcPr>
          <w:p w:rsidR="00F36766" w:rsidRPr="00EB078C" w:rsidRDefault="00F36766" w:rsidP="00C24A12">
            <w:pPr>
              <w:spacing w:before="40" w:after="40"/>
            </w:pPr>
            <w:r w:rsidRPr="00EB078C">
              <w:t>Shipments between U.S. possessions.</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123.13</w:t>
            </w:r>
          </w:p>
        </w:tc>
        <w:tc>
          <w:tcPr>
            <w:tcW w:w="6750" w:type="dxa"/>
            <w:shd w:val="clear" w:color="auto" w:fill="auto"/>
          </w:tcPr>
          <w:p w:rsidR="00F36766" w:rsidRPr="00EB078C" w:rsidRDefault="00F36766" w:rsidP="00C24A12">
            <w:pPr>
              <w:spacing w:before="40" w:after="40"/>
            </w:pPr>
            <w:r w:rsidRPr="00EB078C">
              <w:t>Defense article on domestic air shipment via foreign country.</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123.16</w:t>
            </w:r>
            <w:r w:rsidRPr="00EB078C">
              <w:t>b1</w:t>
            </w:r>
          </w:p>
        </w:tc>
        <w:tc>
          <w:tcPr>
            <w:tcW w:w="6750" w:type="dxa"/>
            <w:shd w:val="clear" w:color="auto" w:fill="auto"/>
          </w:tcPr>
          <w:p w:rsidR="00F36766" w:rsidRPr="00EB078C" w:rsidRDefault="00F36766" w:rsidP="00C24A12">
            <w:pPr>
              <w:spacing w:before="40" w:after="40"/>
            </w:pPr>
            <w:r w:rsidRPr="00EB078C">
              <w:t>Unclassified defense articles in support of agreements.</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123.16b2</w:t>
            </w:r>
          </w:p>
        </w:tc>
        <w:tc>
          <w:tcPr>
            <w:tcW w:w="6750" w:type="dxa"/>
            <w:shd w:val="clear" w:color="auto" w:fill="auto"/>
          </w:tcPr>
          <w:p w:rsidR="00F36766" w:rsidRPr="00EB078C" w:rsidRDefault="00F36766" w:rsidP="00C24A12">
            <w:pPr>
              <w:spacing w:before="40" w:after="40"/>
            </w:pPr>
            <w:r w:rsidRPr="00EB078C">
              <w:t>Components or spare parts less than $500.</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123.16</w:t>
            </w:r>
            <w:r w:rsidRPr="00EB078C">
              <w:t>b3</w:t>
            </w:r>
          </w:p>
        </w:tc>
        <w:tc>
          <w:tcPr>
            <w:tcW w:w="6750" w:type="dxa"/>
            <w:shd w:val="clear" w:color="auto" w:fill="auto"/>
          </w:tcPr>
          <w:p w:rsidR="00F36766" w:rsidRPr="00EB078C" w:rsidRDefault="00F36766" w:rsidP="00C24A12">
            <w:pPr>
              <w:spacing w:before="40" w:after="40"/>
            </w:pPr>
            <w:r w:rsidRPr="00EB078C">
              <w:t>Packing cases for defense articles.</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123.16b</w:t>
            </w:r>
            <w:r w:rsidRPr="00EB078C">
              <w:t>4</w:t>
            </w:r>
          </w:p>
        </w:tc>
        <w:tc>
          <w:tcPr>
            <w:tcW w:w="6750" w:type="dxa"/>
            <w:shd w:val="clear" w:color="auto" w:fill="auto"/>
          </w:tcPr>
          <w:p w:rsidR="00F36766" w:rsidRPr="00EB078C" w:rsidRDefault="00F36766" w:rsidP="00C24A12">
            <w:pPr>
              <w:spacing w:before="40" w:after="40"/>
            </w:pPr>
            <w:r w:rsidRPr="00EB078C">
              <w:t>Unclassified models and mock-ups.</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123.16b5</w:t>
            </w:r>
          </w:p>
        </w:tc>
        <w:tc>
          <w:tcPr>
            <w:tcW w:w="6750" w:type="dxa"/>
            <w:shd w:val="clear" w:color="auto" w:fill="auto"/>
          </w:tcPr>
          <w:p w:rsidR="00F36766" w:rsidRPr="00EB078C" w:rsidRDefault="00F36766" w:rsidP="00C24A12">
            <w:pPr>
              <w:spacing w:before="40" w:after="40"/>
            </w:pPr>
            <w:r w:rsidRPr="00EB078C">
              <w:t>Temporary export for public exhibition, trade show, air show or related event if that article was previously licensed for public exhibition.</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123.16</w:t>
            </w:r>
            <w:r>
              <w:t>b</w:t>
            </w:r>
            <w:r w:rsidRPr="00EB078C">
              <w:t>9</w:t>
            </w:r>
          </w:p>
        </w:tc>
        <w:tc>
          <w:tcPr>
            <w:tcW w:w="6750" w:type="dxa"/>
            <w:shd w:val="clear" w:color="auto" w:fill="auto"/>
          </w:tcPr>
          <w:p w:rsidR="00F36766" w:rsidRPr="00EB078C" w:rsidRDefault="00F36766" w:rsidP="00C24A12">
            <w:pPr>
              <w:spacing w:before="40" w:after="40"/>
            </w:pPr>
            <w:r w:rsidRPr="00EB078C">
              <w:t>Temporary export of any unclassified component, part, tool or test equipment to a subsidiary, affiliate or facility owned or controlled by the U.S. person if the component, part, tool or test equipment is used for manufacture, assembly, testing, production, or modification.</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123.17a1</w:t>
            </w:r>
          </w:p>
        </w:tc>
        <w:tc>
          <w:tcPr>
            <w:tcW w:w="6750" w:type="dxa"/>
            <w:shd w:val="clear" w:color="auto" w:fill="auto"/>
          </w:tcPr>
          <w:p w:rsidR="00F36766" w:rsidRPr="00EB078C" w:rsidRDefault="00F36766" w:rsidP="00C24A12">
            <w:pPr>
              <w:spacing w:before="40" w:after="40"/>
            </w:pPr>
            <w:r w:rsidRPr="00EB078C">
              <w:t>Components and parts for Category I (a) firearms not exceeding $100 wholesale.</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123.17a2</w:t>
            </w:r>
          </w:p>
        </w:tc>
        <w:tc>
          <w:tcPr>
            <w:tcW w:w="6750" w:type="dxa"/>
            <w:shd w:val="clear" w:color="auto" w:fill="auto"/>
          </w:tcPr>
          <w:p w:rsidR="00F36766" w:rsidRPr="00EB078C" w:rsidRDefault="00F36766" w:rsidP="00C24A12">
            <w:pPr>
              <w:spacing w:before="40" w:after="40"/>
            </w:pPr>
            <w:r w:rsidRPr="00EB078C">
              <w:t>Components and parts for Category I firearms not exceeding $500 wholesale to Canada.</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123.17b</w:t>
            </w:r>
          </w:p>
        </w:tc>
        <w:tc>
          <w:tcPr>
            <w:tcW w:w="6750" w:type="dxa"/>
            <w:shd w:val="clear" w:color="auto" w:fill="auto"/>
          </w:tcPr>
          <w:p w:rsidR="00F36766" w:rsidRPr="00EB078C" w:rsidRDefault="00F36766" w:rsidP="00C24A12">
            <w:pPr>
              <w:spacing w:before="40" w:after="40"/>
            </w:pPr>
            <w:r w:rsidRPr="00EB078C">
              <w:t>Non-automatic Category I (a) firearms manufactured in or before 1898 or replica.</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123.17</w:t>
            </w:r>
            <w:r w:rsidRPr="00EB078C">
              <w:t>c</w:t>
            </w:r>
          </w:p>
        </w:tc>
        <w:tc>
          <w:tcPr>
            <w:tcW w:w="6750" w:type="dxa"/>
            <w:shd w:val="clear" w:color="auto" w:fill="auto"/>
          </w:tcPr>
          <w:p w:rsidR="00F36766" w:rsidRPr="00EB078C" w:rsidRDefault="00F36766" w:rsidP="00C24A12">
            <w:pPr>
              <w:spacing w:before="40" w:after="40"/>
            </w:pPr>
            <w:r w:rsidRPr="00EB078C">
              <w:t>Temporary export of no more than three non-automatic Category I(a) firearms and no more than 1,000 cartridges for personal use.</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123.17</w:t>
            </w:r>
            <w:r w:rsidRPr="00EB078C">
              <w:t>d</w:t>
            </w:r>
          </w:p>
        </w:tc>
        <w:tc>
          <w:tcPr>
            <w:tcW w:w="6750" w:type="dxa"/>
            <w:shd w:val="clear" w:color="auto" w:fill="auto"/>
          </w:tcPr>
          <w:p w:rsidR="00F36766" w:rsidRPr="00EB078C" w:rsidRDefault="00F36766" w:rsidP="00C24A12">
            <w:pPr>
              <w:spacing w:before="40" w:after="40"/>
            </w:pPr>
            <w:r w:rsidRPr="00EB078C">
              <w:t>Firearms in Category I(a) and related ammunition for foreign persons brought in under 27 CFR 478.115 (d).</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123.17</w:t>
            </w:r>
            <w:r w:rsidRPr="00EB078C">
              <w:t>e</w:t>
            </w:r>
          </w:p>
        </w:tc>
        <w:tc>
          <w:tcPr>
            <w:tcW w:w="6750" w:type="dxa"/>
            <w:shd w:val="clear" w:color="auto" w:fill="auto"/>
          </w:tcPr>
          <w:p w:rsidR="00F36766" w:rsidRPr="00EB078C" w:rsidRDefault="00F36766" w:rsidP="00C24A12">
            <w:pPr>
              <w:spacing w:before="40" w:after="40"/>
            </w:pPr>
            <w:r w:rsidRPr="00EB078C">
              <w:t>Not more than 1,000 cartridges of ammunition for non-automatic firearms for personal use.</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123.17</w:t>
            </w:r>
            <w:r w:rsidRPr="00EB078C">
              <w:t>f</w:t>
            </w:r>
          </w:p>
        </w:tc>
        <w:tc>
          <w:tcPr>
            <w:tcW w:w="6750" w:type="dxa"/>
            <w:shd w:val="clear" w:color="auto" w:fill="auto"/>
          </w:tcPr>
          <w:p w:rsidR="00F36766" w:rsidRPr="00EB078C" w:rsidRDefault="00F36766" w:rsidP="00C24A12">
            <w:pPr>
              <w:spacing w:before="40" w:after="40"/>
            </w:pPr>
            <w:r w:rsidRPr="00EB078C">
              <w:t>Temporary export of one set of Body Armor covered by USML Category X(a)(1) which may include one helmet covered by USML Category X(a)(6), or one set of chemical agent protective gear covered by USML Category XIV(f)(4) which may include one additional filter canister for personal use.</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123.17</w:t>
            </w:r>
            <w:r w:rsidRPr="00EB078C">
              <w:t>g</w:t>
            </w:r>
          </w:p>
        </w:tc>
        <w:tc>
          <w:tcPr>
            <w:tcW w:w="6750" w:type="dxa"/>
            <w:shd w:val="clear" w:color="auto" w:fill="auto"/>
          </w:tcPr>
          <w:p w:rsidR="00F36766" w:rsidRPr="00EB078C" w:rsidRDefault="00F36766" w:rsidP="00C24A12">
            <w:pPr>
              <w:spacing w:before="40" w:after="40"/>
            </w:pPr>
            <w:r w:rsidRPr="00EB078C">
              <w:t>Temporary export of one set of body armor, which may include a helmet, or chemical agent protective gear, for personal use to countries listed in Section 126.1 of the ITAR by U.S. persons travelling in support of a U.S. Government contract or traveling on official U.S. Government business.</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123.17</w:t>
            </w:r>
            <w:r w:rsidRPr="00EB078C">
              <w:t>h</w:t>
            </w:r>
          </w:p>
        </w:tc>
        <w:tc>
          <w:tcPr>
            <w:tcW w:w="6750" w:type="dxa"/>
            <w:shd w:val="clear" w:color="auto" w:fill="auto"/>
          </w:tcPr>
          <w:p w:rsidR="00F36766" w:rsidRPr="00EB078C" w:rsidRDefault="00F36766" w:rsidP="00C24A12">
            <w:pPr>
              <w:spacing w:before="40" w:after="40"/>
            </w:pPr>
            <w:r w:rsidRPr="00EB078C">
              <w:t>Temporary exports of body armor, which may include a helmet, or chemical agent protective gear, which may include one additional filter canister, for personal use to Iraq. </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123.17</w:t>
            </w:r>
            <w:r w:rsidRPr="00EB078C">
              <w:t>i</w:t>
            </w:r>
          </w:p>
        </w:tc>
        <w:tc>
          <w:tcPr>
            <w:tcW w:w="6750" w:type="dxa"/>
            <w:shd w:val="clear" w:color="auto" w:fill="auto"/>
          </w:tcPr>
          <w:p w:rsidR="00F36766" w:rsidRPr="00EB078C" w:rsidRDefault="00F36766" w:rsidP="00C24A12">
            <w:pPr>
              <w:spacing w:before="40" w:after="40"/>
            </w:pPr>
            <w:r w:rsidRPr="00EB078C">
              <w:t>Temporary exports of body armor, which may include a helmet, or chemical agent protective gear, which may include one additional filter canister, for personal use to Afghanistan.</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123.18</w:t>
            </w:r>
            <w:r w:rsidRPr="00EB078C">
              <w:t>a1</w:t>
            </w:r>
          </w:p>
        </w:tc>
        <w:tc>
          <w:tcPr>
            <w:tcW w:w="6750" w:type="dxa"/>
            <w:shd w:val="clear" w:color="auto" w:fill="auto"/>
          </w:tcPr>
          <w:p w:rsidR="00F36766" w:rsidRPr="00EB078C" w:rsidRDefault="00F36766" w:rsidP="00C24A12">
            <w:pPr>
              <w:spacing w:before="40" w:after="40"/>
            </w:pPr>
            <w:r w:rsidRPr="00EB078C">
              <w:t>Non-automatic firearms in Category I(a) for servicemen’s clubs for members of U.S. Armed Forces.</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123.18</w:t>
            </w:r>
            <w:r w:rsidRPr="00EB078C">
              <w:t>a2</w:t>
            </w:r>
          </w:p>
        </w:tc>
        <w:tc>
          <w:tcPr>
            <w:tcW w:w="6750" w:type="dxa"/>
            <w:shd w:val="clear" w:color="auto" w:fill="auto"/>
          </w:tcPr>
          <w:p w:rsidR="00F36766" w:rsidRPr="00EB078C" w:rsidRDefault="00F36766" w:rsidP="00C24A12">
            <w:pPr>
              <w:spacing w:before="40" w:after="40"/>
            </w:pPr>
            <w:r w:rsidRPr="00EB078C">
              <w:t>Non-automatic firearms in Category I(a) for personal use by member of U.S. Armed Forces or civilian employee of Department of Defense.</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123.18a3</w:t>
            </w:r>
          </w:p>
        </w:tc>
        <w:tc>
          <w:tcPr>
            <w:tcW w:w="6750" w:type="dxa"/>
            <w:shd w:val="clear" w:color="auto" w:fill="auto"/>
          </w:tcPr>
          <w:p w:rsidR="00F36766" w:rsidRPr="00EB078C" w:rsidRDefault="00F36766" w:rsidP="00C24A12">
            <w:pPr>
              <w:spacing w:before="40" w:after="40"/>
            </w:pPr>
            <w:r w:rsidRPr="00EB078C">
              <w:t>Non-automatic firearms for personal use by U.S. Government employees with written authorization from Chief of the U.S. Diplomatic Mission.</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123.18</w:t>
            </w:r>
            <w:r w:rsidRPr="00EB078C">
              <w:t>b</w:t>
            </w:r>
          </w:p>
        </w:tc>
        <w:tc>
          <w:tcPr>
            <w:tcW w:w="6750" w:type="dxa"/>
            <w:shd w:val="clear" w:color="auto" w:fill="auto"/>
          </w:tcPr>
          <w:p w:rsidR="00F36766" w:rsidRPr="00EB078C" w:rsidRDefault="00F36766" w:rsidP="00C24A12">
            <w:pPr>
              <w:spacing w:before="40" w:after="40"/>
            </w:pPr>
            <w:r w:rsidRPr="00EB078C">
              <w:t>Not more than 1,000 cartridges of ammunition for firearms in Category I(a) for personal use by U.S. Government employees.</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123.23</w:t>
            </w:r>
          </w:p>
        </w:tc>
        <w:tc>
          <w:tcPr>
            <w:tcW w:w="6750" w:type="dxa"/>
            <w:shd w:val="clear" w:color="auto" w:fill="auto"/>
          </w:tcPr>
          <w:p w:rsidR="00F36766" w:rsidRPr="00EB078C" w:rsidRDefault="00F36766" w:rsidP="00C24A12">
            <w:pPr>
              <w:spacing w:before="40" w:after="40"/>
            </w:pPr>
            <w:r w:rsidRPr="00EB078C">
              <w:t>Shipments when the total value does not exceed the value on the license by more than ten percent.</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126.2</w:t>
            </w:r>
          </w:p>
        </w:tc>
        <w:tc>
          <w:tcPr>
            <w:tcW w:w="6750" w:type="dxa"/>
            <w:shd w:val="clear" w:color="auto" w:fill="auto"/>
          </w:tcPr>
          <w:p w:rsidR="00F36766" w:rsidRPr="00EB078C" w:rsidRDefault="00F36766" w:rsidP="00C24A12">
            <w:pPr>
              <w:spacing w:before="40" w:after="40"/>
            </w:pPr>
            <w:r w:rsidRPr="00EB078C">
              <w:t>The DAS for DTC may order the temporary suspension or modification of any or all of the regulations in the interest of the security and foreign policy of the United States.</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126.3</w:t>
            </w:r>
          </w:p>
        </w:tc>
        <w:tc>
          <w:tcPr>
            <w:tcW w:w="6750" w:type="dxa"/>
            <w:shd w:val="clear" w:color="auto" w:fill="auto"/>
          </w:tcPr>
          <w:p w:rsidR="00F36766" w:rsidRPr="00EB078C" w:rsidRDefault="00F36766" w:rsidP="00C24A12">
            <w:pPr>
              <w:spacing w:before="40" w:after="40"/>
            </w:pPr>
            <w:r w:rsidRPr="00EB078C">
              <w:t>Exceptional or undue hardship, or otherwise in the interest of the U.S. Government.</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126.4a</w:t>
            </w:r>
          </w:p>
        </w:tc>
        <w:tc>
          <w:tcPr>
            <w:tcW w:w="6750" w:type="dxa"/>
            <w:shd w:val="clear" w:color="auto" w:fill="auto"/>
          </w:tcPr>
          <w:p w:rsidR="00F36766" w:rsidRPr="00EB078C" w:rsidRDefault="00F36766" w:rsidP="00C24A12">
            <w:pPr>
              <w:spacing w:before="40" w:after="40"/>
            </w:pPr>
            <w:r w:rsidRPr="00EB078C">
              <w:t>Temporary import or temporary export of defense article, technical data, or defense service by or for agency of U.S. Government.</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126.4</w:t>
            </w:r>
            <w:r w:rsidRPr="00EB078C">
              <w:t>c</w:t>
            </w:r>
          </w:p>
        </w:tc>
        <w:tc>
          <w:tcPr>
            <w:tcW w:w="6750" w:type="dxa"/>
            <w:shd w:val="clear" w:color="auto" w:fill="auto"/>
          </w:tcPr>
          <w:p w:rsidR="00F36766" w:rsidRPr="00EB078C" w:rsidRDefault="00F36766" w:rsidP="00C24A12">
            <w:pPr>
              <w:spacing w:before="40" w:after="40"/>
            </w:pPr>
            <w:r w:rsidRPr="00EB078C">
              <w:t>Temporary import, temporary export, or permanent export of defense article, technical data, or defense service for end-use by U.S. Government agency in foreign country.</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w:t>
            </w:r>
            <w:r>
              <w:t>5</w:t>
            </w:r>
            <w:r w:rsidRPr="00EB078C">
              <w:t>b</w:t>
            </w:r>
          </w:p>
        </w:tc>
        <w:tc>
          <w:tcPr>
            <w:tcW w:w="6750" w:type="dxa"/>
            <w:shd w:val="clear" w:color="auto" w:fill="auto"/>
          </w:tcPr>
          <w:p w:rsidR="00F36766" w:rsidRPr="00EB078C" w:rsidRDefault="00F36766" w:rsidP="00C24A12">
            <w:pPr>
              <w:spacing w:before="40" w:after="40"/>
            </w:pPr>
            <w:r w:rsidRPr="00EB078C">
              <w:t>Permanent or temporary export of certain defense articles, related technical data, and defense services for end-use in Canada.</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126.6</w:t>
            </w:r>
            <w:r w:rsidRPr="00EB078C">
              <w:t>a</w:t>
            </w:r>
          </w:p>
        </w:tc>
        <w:tc>
          <w:tcPr>
            <w:tcW w:w="6750" w:type="dxa"/>
            <w:shd w:val="clear" w:color="auto" w:fill="auto"/>
          </w:tcPr>
          <w:p w:rsidR="00F36766" w:rsidRPr="00EB078C" w:rsidRDefault="00F36766" w:rsidP="00C24A12">
            <w:pPr>
              <w:spacing w:before="40" w:after="40"/>
            </w:pPr>
            <w:r w:rsidRPr="00EB078C">
              <w:t>Defense article or technical data sold, leased, or loaned by Department of Defense to a foreign country or international organization.</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126.6</w:t>
            </w:r>
            <w:r w:rsidRPr="00EB078C">
              <w:t>c</w:t>
            </w:r>
          </w:p>
        </w:tc>
        <w:tc>
          <w:tcPr>
            <w:tcW w:w="6750" w:type="dxa"/>
            <w:shd w:val="clear" w:color="auto" w:fill="auto"/>
          </w:tcPr>
          <w:p w:rsidR="00F36766" w:rsidRPr="00EB078C" w:rsidRDefault="00F36766" w:rsidP="00C24A12">
            <w:pPr>
              <w:spacing w:before="40" w:after="40"/>
            </w:pPr>
            <w:r w:rsidRPr="00EB078C">
              <w:t>Defense article, technical data, or defense service sold, leased, or loaned by Department of Defense under Foreign Military Sales Program.</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126.16e1</w:t>
            </w:r>
          </w:p>
        </w:tc>
        <w:tc>
          <w:tcPr>
            <w:tcW w:w="6750" w:type="dxa"/>
            <w:shd w:val="clear" w:color="auto" w:fill="auto"/>
          </w:tcPr>
          <w:p w:rsidR="00F36766" w:rsidRPr="00EB078C" w:rsidRDefault="00F36766" w:rsidP="00C24A12">
            <w:pPr>
              <w:spacing w:before="40" w:after="40"/>
            </w:pPr>
            <w:r w:rsidRPr="00EB078C">
              <w:t>United States and Australian combined military or counter-terrorism operations.</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126.16e</w:t>
            </w:r>
            <w:r w:rsidRPr="00EB078C">
              <w:t>2</w:t>
            </w:r>
          </w:p>
        </w:tc>
        <w:tc>
          <w:tcPr>
            <w:tcW w:w="6750" w:type="dxa"/>
            <w:shd w:val="clear" w:color="auto" w:fill="auto"/>
          </w:tcPr>
          <w:p w:rsidR="00F36766" w:rsidRPr="00EB078C" w:rsidRDefault="00F36766" w:rsidP="00C24A12">
            <w:pPr>
              <w:spacing w:before="40" w:after="40"/>
            </w:pPr>
            <w:r w:rsidRPr="00EB078C">
              <w:t>United States and Australian cooperative security and defense research, development, production, and support programs.</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126.16e3</w:t>
            </w:r>
          </w:p>
        </w:tc>
        <w:tc>
          <w:tcPr>
            <w:tcW w:w="6750" w:type="dxa"/>
            <w:shd w:val="clear" w:color="auto" w:fill="auto"/>
          </w:tcPr>
          <w:p w:rsidR="00F36766" w:rsidRPr="00EB078C" w:rsidRDefault="00F36766" w:rsidP="00C24A12">
            <w:pPr>
              <w:spacing w:before="40" w:after="40"/>
            </w:pPr>
            <w:r w:rsidRPr="00EB078C">
              <w:t>Mutually determined specific security and defense projects where the Government of Australia is the end-user.</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126.16e4</w:t>
            </w:r>
          </w:p>
        </w:tc>
        <w:tc>
          <w:tcPr>
            <w:tcW w:w="6750" w:type="dxa"/>
            <w:shd w:val="clear" w:color="auto" w:fill="auto"/>
          </w:tcPr>
          <w:p w:rsidR="00F36766" w:rsidRPr="00EB078C" w:rsidRDefault="00F36766" w:rsidP="00C24A12">
            <w:pPr>
              <w:spacing w:before="40" w:after="40"/>
            </w:pPr>
            <w:r w:rsidRPr="00EB078C">
              <w:t>Defense Trade Cooperation Treaty between United States and Australia for U.S. Government end-use.</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126.17e1</w:t>
            </w:r>
          </w:p>
        </w:tc>
        <w:tc>
          <w:tcPr>
            <w:tcW w:w="6750" w:type="dxa"/>
            <w:shd w:val="clear" w:color="auto" w:fill="auto"/>
          </w:tcPr>
          <w:p w:rsidR="00F36766" w:rsidRPr="00EB078C" w:rsidRDefault="00F36766" w:rsidP="00C24A12">
            <w:pPr>
              <w:spacing w:before="40" w:after="40"/>
            </w:pPr>
            <w:r w:rsidRPr="00EB078C">
              <w:t>United States and United Kingdom combined military or counter-terrorism operations.</w:t>
            </w:r>
          </w:p>
        </w:tc>
      </w:tr>
      <w:tr w:rsidR="00F36766" w:rsidRPr="0075740A" w:rsidTr="00C24A12">
        <w:trPr>
          <w:cantSplit/>
        </w:trPr>
        <w:tc>
          <w:tcPr>
            <w:tcW w:w="1728" w:type="dxa"/>
            <w:vMerge/>
          </w:tcPr>
          <w:p w:rsidR="00F36766" w:rsidRPr="00EB078C" w:rsidRDefault="00F36766" w:rsidP="00C24A12">
            <w:pPr>
              <w:spacing w:before="40" w:after="40"/>
            </w:pPr>
          </w:p>
        </w:tc>
        <w:tc>
          <w:tcPr>
            <w:tcW w:w="1080" w:type="dxa"/>
            <w:shd w:val="clear" w:color="auto" w:fill="auto"/>
          </w:tcPr>
          <w:p w:rsidR="00F36766" w:rsidRPr="00EB078C" w:rsidRDefault="00F36766" w:rsidP="00C24A12">
            <w:pPr>
              <w:spacing w:before="40" w:after="40"/>
            </w:pPr>
            <w:r w:rsidRPr="00EB078C">
              <w:t>126.17e2</w:t>
            </w:r>
          </w:p>
        </w:tc>
        <w:tc>
          <w:tcPr>
            <w:tcW w:w="6750" w:type="dxa"/>
            <w:shd w:val="clear" w:color="auto" w:fill="auto"/>
          </w:tcPr>
          <w:p w:rsidR="00F36766" w:rsidRPr="00EB078C" w:rsidRDefault="00F36766" w:rsidP="00C24A12">
            <w:pPr>
              <w:spacing w:before="40" w:after="40"/>
            </w:pPr>
            <w:r w:rsidRPr="00EB078C">
              <w:t>United States and United Kingdom cooperative security and defense research, development, production, and support programs.</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126.17</w:t>
            </w:r>
            <w:r w:rsidRPr="00EB078C">
              <w:t>e3</w:t>
            </w:r>
          </w:p>
        </w:tc>
        <w:tc>
          <w:tcPr>
            <w:tcW w:w="6750" w:type="dxa"/>
            <w:shd w:val="clear" w:color="auto" w:fill="auto"/>
          </w:tcPr>
          <w:p w:rsidR="00F36766" w:rsidRPr="00EB078C" w:rsidRDefault="00F36766" w:rsidP="00C24A12">
            <w:pPr>
              <w:spacing w:before="40" w:after="40"/>
            </w:pPr>
            <w:r w:rsidRPr="00EB078C">
              <w:t xml:space="preserve">Mutually determined specific security and defense projects where the Government of the United Kingdom is the end-user. </w:t>
            </w:r>
          </w:p>
        </w:tc>
      </w:tr>
      <w:tr w:rsidR="00F36766" w:rsidRPr="0075740A" w:rsidTr="00C24A12">
        <w:trPr>
          <w:cantSplit/>
        </w:trPr>
        <w:tc>
          <w:tcPr>
            <w:tcW w:w="1728" w:type="dxa"/>
            <w:vMerge/>
          </w:tcPr>
          <w:p w:rsidR="00F36766" w:rsidRDefault="00F36766" w:rsidP="00C24A12">
            <w:pPr>
              <w:spacing w:before="40" w:after="40"/>
            </w:pPr>
          </w:p>
        </w:tc>
        <w:tc>
          <w:tcPr>
            <w:tcW w:w="1080" w:type="dxa"/>
            <w:shd w:val="clear" w:color="auto" w:fill="auto"/>
          </w:tcPr>
          <w:p w:rsidR="00F36766" w:rsidRPr="00EB078C" w:rsidRDefault="00F36766" w:rsidP="00C24A12">
            <w:pPr>
              <w:spacing w:before="40" w:after="40"/>
            </w:pPr>
            <w:r>
              <w:t>126.17</w:t>
            </w:r>
            <w:r w:rsidRPr="00EB078C">
              <w:t>e4</w:t>
            </w:r>
          </w:p>
        </w:tc>
        <w:tc>
          <w:tcPr>
            <w:tcW w:w="6750" w:type="dxa"/>
            <w:shd w:val="clear" w:color="auto" w:fill="auto"/>
          </w:tcPr>
          <w:p w:rsidR="00F36766" w:rsidRPr="00EB078C" w:rsidRDefault="00F36766" w:rsidP="00C24A12">
            <w:pPr>
              <w:spacing w:before="40" w:after="40"/>
            </w:pPr>
            <w:r w:rsidRPr="00EB078C">
              <w:t>Defense Trade Cooperation Treaty between United States and United Kingdom for U.S. Government end-use.</w:t>
            </w:r>
          </w:p>
        </w:tc>
      </w:tr>
    </w:tbl>
    <w:p w:rsidR="00F36766" w:rsidRPr="00F77473" w:rsidRDefault="00F36766" w:rsidP="006F6527"/>
    <w:sectPr w:rsidR="00F36766" w:rsidRPr="00F77473" w:rsidSect="00DB5F0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D8C" w:rsidRDefault="00B75D8C" w:rsidP="00634272">
      <w:pPr>
        <w:spacing w:after="0" w:line="240" w:lineRule="auto"/>
      </w:pPr>
      <w:r>
        <w:separator/>
      </w:r>
    </w:p>
  </w:endnote>
  <w:endnote w:type="continuationSeparator" w:id="0">
    <w:p w:rsidR="00B75D8C" w:rsidRDefault="00B75D8C" w:rsidP="0063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A9" w:rsidRDefault="00644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B93" w:rsidRDefault="009E2B93">
    <w:pPr>
      <w:pStyle w:val="Footer"/>
      <w:pBdr>
        <w:top w:val="thinThickSmallGap" w:sz="24" w:space="1" w:color="71002C"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DB5F0F">
      <w:rPr>
        <w:rFonts w:asciiTheme="majorHAnsi" w:eastAsiaTheme="majorEastAsia" w:hAnsiTheme="majorHAnsi" w:cstheme="majorBidi"/>
      </w:rPr>
      <w:t>- Based on DDTC version 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2599E" w:rsidRPr="00E2599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634272" w:rsidRDefault="00634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A9" w:rsidRDefault="00644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D8C" w:rsidRDefault="00B75D8C" w:rsidP="00634272">
      <w:pPr>
        <w:spacing w:after="0" w:line="240" w:lineRule="auto"/>
      </w:pPr>
      <w:r>
        <w:separator/>
      </w:r>
    </w:p>
  </w:footnote>
  <w:footnote w:type="continuationSeparator" w:id="0">
    <w:p w:rsidR="00B75D8C" w:rsidRDefault="00B75D8C" w:rsidP="0063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A9" w:rsidRDefault="00644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484470" o:spid="_x0000_s4098"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Century Gothic&quot;;font-size:1pt" string="NCBFAA 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272" w:rsidRDefault="006448A9" w:rsidP="00175E6E">
    <w:pPr>
      <w:pStyle w:val="Header"/>
      <w:pBdr>
        <w:bottom w:val="thickThinSmallGap" w:sz="24" w:space="1" w:color="71002C" w:themeColor="accent2" w:themeShade="7F"/>
      </w:pBd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484471" o:spid="_x0000_s4099"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Century Gothic&quot;;font-size:1pt" string="NCBFAA DRAFT"/>
        </v:shape>
      </w:pict>
    </w:r>
  </w:p>
  <w:sdt>
    <w:sdtPr>
      <w:rPr>
        <w:rFonts w:ascii="Cambria" w:eastAsia="Times New Roman" w:hAnsi="Cambria" w:cs="Times New Roman"/>
        <w:b/>
        <w:bCs/>
        <w:kern w:val="32"/>
        <w:sz w:val="32"/>
        <w:szCs w:val="32"/>
        <w:lang w:eastAsia="x-none"/>
      </w:rPr>
      <w:alias w:val="Title"/>
      <w:id w:val="77738743"/>
      <w:placeholder>
        <w:docPart w:val="0905118035634B7B8D21E674F6EB43BC"/>
      </w:placeholder>
      <w:dataBinding w:prefixMappings="xmlns:ns0='http://schemas.openxmlformats.org/package/2006/metadata/core-properties' xmlns:ns1='http://purl.org/dc/elements/1.1/'" w:xpath="/ns0:coreProperties[1]/ns1:title[1]" w:storeItemID="{6C3C8BC8-F283-45AE-878A-BAB7291924A1}"/>
      <w:text/>
    </w:sdtPr>
    <w:sdtEndPr/>
    <w:sdtContent>
      <w:p w:rsidR="00634272" w:rsidRDefault="00175E6E" w:rsidP="00175E6E">
        <w:pPr>
          <w:pStyle w:val="Header"/>
          <w:pBdr>
            <w:bottom w:val="thickThinSmallGap" w:sz="24" w:space="1" w:color="71002C" w:themeColor="accent2" w:themeShade="7F"/>
          </w:pBdr>
          <w:rPr>
            <w:rFonts w:asciiTheme="majorHAnsi" w:eastAsiaTheme="majorEastAsia" w:hAnsiTheme="majorHAnsi" w:cstheme="majorBidi"/>
            <w:sz w:val="32"/>
            <w:szCs w:val="32"/>
          </w:rPr>
        </w:pPr>
        <w:r>
          <w:rPr>
            <w:rFonts w:ascii="Cambria" w:eastAsia="Times New Roman" w:hAnsi="Cambria" w:cs="Times New Roman"/>
            <w:b/>
            <w:bCs/>
            <w:kern w:val="32"/>
            <w:sz w:val="32"/>
            <w:szCs w:val="32"/>
            <w:lang w:eastAsia="x-none"/>
          </w:rPr>
          <w:t>Directorate of Defense Trade Controls (DDTC)           PGA Filer Data Requirements based on DDTC Supplemental Guide</w:t>
        </w:r>
      </w:p>
    </w:sdtContent>
  </w:sdt>
  <w:p w:rsidR="00634272" w:rsidRDefault="00634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A9" w:rsidRDefault="006448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9484469" o:spid="_x0000_s4097"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Century Gothic&quot;;font-size:1pt" string="NCBFAA 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36A5"/>
    <w:multiLevelType w:val="hybridMultilevel"/>
    <w:tmpl w:val="307C5F8A"/>
    <w:lvl w:ilvl="0" w:tplc="AA6EA7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245A5"/>
    <w:multiLevelType w:val="hybridMultilevel"/>
    <w:tmpl w:val="88CEE79A"/>
    <w:lvl w:ilvl="0" w:tplc="E9A29354">
      <w:start w:val="1"/>
      <w:numFmt w:val="bullet"/>
      <w:pStyle w:val="Bull1"/>
      <w:lvlText w:val=""/>
      <w:lvlJc w:val="left"/>
      <w:pPr>
        <w:tabs>
          <w:tab w:val="num" w:pos="353"/>
        </w:tabs>
        <w:ind w:left="353" w:hanging="173"/>
      </w:pPr>
      <w:rPr>
        <w:rFonts w:ascii="Symbol" w:hAnsi="Symbol" w:hint="default"/>
        <w:color w:val="1F497D"/>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2122E0"/>
    <w:multiLevelType w:val="multilevel"/>
    <w:tmpl w:val="578A9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2870642"/>
    <w:multiLevelType w:val="multilevel"/>
    <w:tmpl w:val="92487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A3"/>
    <w:rsid w:val="00012B66"/>
    <w:rsid w:val="00041DAC"/>
    <w:rsid w:val="000564A7"/>
    <w:rsid w:val="0008184B"/>
    <w:rsid w:val="00115D38"/>
    <w:rsid w:val="00175E6E"/>
    <w:rsid w:val="001D3128"/>
    <w:rsid w:val="00242E81"/>
    <w:rsid w:val="00267502"/>
    <w:rsid w:val="002C1154"/>
    <w:rsid w:val="002D12EC"/>
    <w:rsid w:val="00397788"/>
    <w:rsid w:val="003B249F"/>
    <w:rsid w:val="004C37BB"/>
    <w:rsid w:val="0063071F"/>
    <w:rsid w:val="00634272"/>
    <w:rsid w:val="006448A9"/>
    <w:rsid w:val="00673130"/>
    <w:rsid w:val="006778A3"/>
    <w:rsid w:val="006F6527"/>
    <w:rsid w:val="007130F9"/>
    <w:rsid w:val="00751DE7"/>
    <w:rsid w:val="00761AF3"/>
    <w:rsid w:val="008075B0"/>
    <w:rsid w:val="00817525"/>
    <w:rsid w:val="008A0E24"/>
    <w:rsid w:val="008B6EFF"/>
    <w:rsid w:val="00913EF2"/>
    <w:rsid w:val="009417E4"/>
    <w:rsid w:val="00975EC9"/>
    <w:rsid w:val="009C2704"/>
    <w:rsid w:val="009E2B93"/>
    <w:rsid w:val="00A81756"/>
    <w:rsid w:val="00AB652E"/>
    <w:rsid w:val="00AF7FC0"/>
    <w:rsid w:val="00B17320"/>
    <w:rsid w:val="00B22571"/>
    <w:rsid w:val="00B3363E"/>
    <w:rsid w:val="00B75D8C"/>
    <w:rsid w:val="00BE072E"/>
    <w:rsid w:val="00BF1C99"/>
    <w:rsid w:val="00C010DD"/>
    <w:rsid w:val="00CD6881"/>
    <w:rsid w:val="00D2421B"/>
    <w:rsid w:val="00DB5F0F"/>
    <w:rsid w:val="00E2599E"/>
    <w:rsid w:val="00E95691"/>
    <w:rsid w:val="00EE00C4"/>
    <w:rsid w:val="00F226CB"/>
    <w:rsid w:val="00F336D3"/>
    <w:rsid w:val="00F36766"/>
    <w:rsid w:val="00F658A8"/>
    <w:rsid w:val="00F850B9"/>
    <w:rsid w:val="00F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78A3"/>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A3"/>
    <w:rPr>
      <w:rFonts w:ascii="Cambria" w:eastAsia="Times New Roman" w:hAnsi="Cambria" w:cs="Times New Roman"/>
      <w:b/>
      <w:bCs/>
      <w:kern w:val="32"/>
      <w:sz w:val="32"/>
      <w:szCs w:val="32"/>
      <w:lang w:val="x-none" w:eastAsia="x-none"/>
    </w:rPr>
  </w:style>
  <w:style w:type="paragraph" w:styleId="ListParagraph">
    <w:name w:val="List Paragraph"/>
    <w:basedOn w:val="Normal"/>
    <w:uiPriority w:val="99"/>
    <w:qFormat/>
    <w:rsid w:val="006778A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6F6527"/>
    <w:rPr>
      <w:rFonts w:cs="Times New Roman"/>
      <w:color w:val="0000FF"/>
      <w:u w:val="single"/>
    </w:rPr>
  </w:style>
  <w:style w:type="character" w:styleId="Strong">
    <w:name w:val="Strong"/>
    <w:qFormat/>
    <w:rsid w:val="00751DE7"/>
    <w:rPr>
      <w:b/>
      <w:bCs/>
    </w:rPr>
  </w:style>
  <w:style w:type="character" w:styleId="FollowedHyperlink">
    <w:name w:val="FollowedHyperlink"/>
    <w:basedOn w:val="DefaultParagraphFont"/>
    <w:uiPriority w:val="99"/>
    <w:semiHidden/>
    <w:unhideWhenUsed/>
    <w:rsid w:val="000564A7"/>
    <w:rPr>
      <w:color w:val="FF79C2" w:themeColor="followedHyperlink"/>
      <w:u w:val="single"/>
    </w:rPr>
  </w:style>
  <w:style w:type="paragraph" w:customStyle="1" w:styleId="Bull1">
    <w:name w:val="Bull1"/>
    <w:basedOn w:val="Normal"/>
    <w:uiPriority w:val="99"/>
    <w:rsid w:val="000564A7"/>
    <w:pPr>
      <w:numPr>
        <w:numId w:val="3"/>
      </w:numPr>
      <w:spacing w:before="120" w:after="80" w:line="240" w:lineRule="auto"/>
    </w:pPr>
    <w:rPr>
      <w:rFonts w:ascii="Times New Roman" w:eastAsia="Times New Roman" w:hAnsi="Times New Roman" w:cs="Times New Roman"/>
      <w:color w:val="000000"/>
      <w:sz w:val="24"/>
      <w:szCs w:val="18"/>
    </w:rPr>
  </w:style>
  <w:style w:type="paragraph" w:styleId="Header">
    <w:name w:val="header"/>
    <w:basedOn w:val="Normal"/>
    <w:link w:val="HeaderChar"/>
    <w:uiPriority w:val="99"/>
    <w:unhideWhenUsed/>
    <w:rsid w:val="0063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72"/>
  </w:style>
  <w:style w:type="paragraph" w:styleId="Footer">
    <w:name w:val="footer"/>
    <w:basedOn w:val="Normal"/>
    <w:link w:val="FooterChar"/>
    <w:uiPriority w:val="99"/>
    <w:unhideWhenUsed/>
    <w:rsid w:val="0063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72"/>
  </w:style>
  <w:style w:type="paragraph" w:styleId="BalloonText">
    <w:name w:val="Balloon Text"/>
    <w:basedOn w:val="Normal"/>
    <w:link w:val="BalloonTextChar"/>
    <w:uiPriority w:val="99"/>
    <w:semiHidden/>
    <w:unhideWhenUsed/>
    <w:rsid w:val="0063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72"/>
    <w:rPr>
      <w:rFonts w:ascii="Tahoma" w:hAnsi="Tahoma" w:cs="Tahoma"/>
      <w:sz w:val="16"/>
      <w:szCs w:val="16"/>
    </w:rPr>
  </w:style>
  <w:style w:type="paragraph" w:customStyle="1" w:styleId="Default">
    <w:name w:val="Default"/>
    <w:rsid w:val="00CD68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78A3"/>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A3"/>
    <w:rPr>
      <w:rFonts w:ascii="Cambria" w:eastAsia="Times New Roman" w:hAnsi="Cambria" w:cs="Times New Roman"/>
      <w:b/>
      <w:bCs/>
      <w:kern w:val="32"/>
      <w:sz w:val="32"/>
      <w:szCs w:val="32"/>
      <w:lang w:val="x-none" w:eastAsia="x-none"/>
    </w:rPr>
  </w:style>
  <w:style w:type="paragraph" w:styleId="ListParagraph">
    <w:name w:val="List Paragraph"/>
    <w:basedOn w:val="Normal"/>
    <w:uiPriority w:val="99"/>
    <w:qFormat/>
    <w:rsid w:val="006778A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rsid w:val="006F6527"/>
    <w:rPr>
      <w:rFonts w:cs="Times New Roman"/>
      <w:color w:val="0000FF"/>
      <w:u w:val="single"/>
    </w:rPr>
  </w:style>
  <w:style w:type="character" w:styleId="Strong">
    <w:name w:val="Strong"/>
    <w:qFormat/>
    <w:rsid w:val="00751DE7"/>
    <w:rPr>
      <w:b/>
      <w:bCs/>
    </w:rPr>
  </w:style>
  <w:style w:type="character" w:styleId="FollowedHyperlink">
    <w:name w:val="FollowedHyperlink"/>
    <w:basedOn w:val="DefaultParagraphFont"/>
    <w:uiPriority w:val="99"/>
    <w:semiHidden/>
    <w:unhideWhenUsed/>
    <w:rsid w:val="000564A7"/>
    <w:rPr>
      <w:color w:val="FF79C2" w:themeColor="followedHyperlink"/>
      <w:u w:val="single"/>
    </w:rPr>
  </w:style>
  <w:style w:type="paragraph" w:customStyle="1" w:styleId="Bull1">
    <w:name w:val="Bull1"/>
    <w:basedOn w:val="Normal"/>
    <w:uiPriority w:val="99"/>
    <w:rsid w:val="000564A7"/>
    <w:pPr>
      <w:numPr>
        <w:numId w:val="3"/>
      </w:numPr>
      <w:spacing w:before="120" w:after="80" w:line="240" w:lineRule="auto"/>
    </w:pPr>
    <w:rPr>
      <w:rFonts w:ascii="Times New Roman" w:eastAsia="Times New Roman" w:hAnsi="Times New Roman" w:cs="Times New Roman"/>
      <w:color w:val="000000"/>
      <w:sz w:val="24"/>
      <w:szCs w:val="18"/>
    </w:rPr>
  </w:style>
  <w:style w:type="paragraph" w:styleId="Header">
    <w:name w:val="header"/>
    <w:basedOn w:val="Normal"/>
    <w:link w:val="HeaderChar"/>
    <w:uiPriority w:val="99"/>
    <w:unhideWhenUsed/>
    <w:rsid w:val="0063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272"/>
  </w:style>
  <w:style w:type="paragraph" w:styleId="Footer">
    <w:name w:val="footer"/>
    <w:basedOn w:val="Normal"/>
    <w:link w:val="FooterChar"/>
    <w:uiPriority w:val="99"/>
    <w:unhideWhenUsed/>
    <w:rsid w:val="0063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272"/>
  </w:style>
  <w:style w:type="paragraph" w:styleId="BalloonText">
    <w:name w:val="Balloon Text"/>
    <w:basedOn w:val="Normal"/>
    <w:link w:val="BalloonTextChar"/>
    <w:uiPriority w:val="99"/>
    <w:semiHidden/>
    <w:unhideWhenUsed/>
    <w:rsid w:val="0063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272"/>
    <w:rPr>
      <w:rFonts w:ascii="Tahoma" w:hAnsi="Tahoma" w:cs="Tahoma"/>
      <w:sz w:val="16"/>
      <w:szCs w:val="16"/>
    </w:rPr>
  </w:style>
  <w:style w:type="paragraph" w:customStyle="1" w:styleId="Default">
    <w:name w:val="Default"/>
    <w:rsid w:val="00CD68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9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p.gov/trade/ace/catai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bp.gov/document/guidance/ddtc-implementation-guide-i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ddtc.state.gov/about/key_personnel.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pmddtc.state.gov/regulations_laws/itar.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pmddtc.state.gov/regulations_laws/aeca.html"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05118035634B7B8D21E674F6EB43BC"/>
        <w:category>
          <w:name w:val="General"/>
          <w:gallery w:val="placeholder"/>
        </w:category>
        <w:types>
          <w:type w:val="bbPlcHdr"/>
        </w:types>
        <w:behaviors>
          <w:behavior w:val="content"/>
        </w:behaviors>
        <w:guid w:val="{F8AE3777-223B-44C1-954B-2254ACE97656}"/>
      </w:docPartPr>
      <w:docPartBody>
        <w:p w:rsidR="009F596B" w:rsidRDefault="00C01781" w:rsidP="00C01781">
          <w:pPr>
            <w:pStyle w:val="0905118035634B7B8D21E674F6EB43B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81"/>
    <w:rsid w:val="000266DA"/>
    <w:rsid w:val="00407FDB"/>
    <w:rsid w:val="007E0152"/>
    <w:rsid w:val="009F596B"/>
    <w:rsid w:val="00B06BFE"/>
    <w:rsid w:val="00C01781"/>
    <w:rsid w:val="00D1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5118035634B7B8D21E674F6EB43BC">
    <w:name w:val="0905118035634B7B8D21E674F6EB43BC"/>
    <w:rsid w:val="00C01781"/>
  </w:style>
  <w:style w:type="paragraph" w:customStyle="1" w:styleId="F4821AC67BF34F27AA0CBF4ACFD5C761">
    <w:name w:val="F4821AC67BF34F27AA0CBF4ACFD5C761"/>
    <w:rsid w:val="00C017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5118035634B7B8D21E674F6EB43BC">
    <w:name w:val="0905118035634B7B8D21E674F6EB43BC"/>
    <w:rsid w:val="00C01781"/>
  </w:style>
  <w:style w:type="paragraph" w:customStyle="1" w:styleId="F4821AC67BF34F27AA0CBF4ACFD5C761">
    <w:name w:val="F4821AC67BF34F27AA0CBF4ACFD5C761"/>
    <w:rsid w:val="00C01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57F6-FDEC-46E4-8D46-EF2979E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A279193</Template>
  <TotalTime>1</TotalTime>
  <Pages>9</Pages>
  <Words>1874</Words>
  <Characters>10683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Directorate of Defense Trade Controls (DDTC)           PGA Filer Data Requirements based on DDTC Supplemental Guide</vt:lpstr>
    </vt:vector>
  </TitlesOfParts>
  <Company>OHL</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Defense Trade Controls (DDTC)           PGA Filer Data Requirements based on DDTC Supplemental Guide</dc:title>
  <dc:creator>MDT2012</dc:creator>
  <cp:lastModifiedBy>Myra Reynolds, LCB CCS</cp:lastModifiedBy>
  <cp:revision>2</cp:revision>
  <cp:lastPrinted>2015-10-07T18:25:00Z</cp:lastPrinted>
  <dcterms:created xsi:type="dcterms:W3CDTF">2015-10-07T19:30:00Z</dcterms:created>
  <dcterms:modified xsi:type="dcterms:W3CDTF">2015-10-07T19:30:00Z</dcterms:modified>
</cp:coreProperties>
</file>